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139" w:rsidRPr="00DC6729" w:rsidRDefault="00F62139" w:rsidP="00F62139">
      <w:pPr>
        <w:pStyle w:val="BodyALG"/>
        <w:tabs>
          <w:tab w:val="left" w:pos="3011"/>
          <w:tab w:val="center" w:pos="4819"/>
        </w:tabs>
        <w:jc w:val="left"/>
      </w:pPr>
      <w:r>
        <w:rPr>
          <w:b/>
          <w:color w:val="252525"/>
        </w:rPr>
        <w:tab/>
      </w:r>
      <w:r>
        <w:rPr>
          <w:b/>
          <w:color w:val="252525"/>
        </w:rPr>
        <w:tab/>
        <w:t>K</w:t>
      </w:r>
      <w:r w:rsidR="00E707E5">
        <w:rPr>
          <w:b/>
          <w:color w:val="252525"/>
        </w:rPr>
        <w:t>INGS</w:t>
      </w:r>
      <w:r>
        <w:rPr>
          <w:b/>
          <w:color w:val="252525"/>
        </w:rPr>
        <w:t>W</w:t>
      </w:r>
      <w:r w:rsidR="00E707E5">
        <w:rPr>
          <w:b/>
          <w:color w:val="252525"/>
        </w:rPr>
        <w:t>OOD</w:t>
      </w:r>
      <w:r>
        <w:rPr>
          <w:b/>
          <w:color w:val="252525"/>
        </w:rPr>
        <w:t xml:space="preserve"> </w:t>
      </w:r>
      <w:r w:rsidR="003F0C7E">
        <w:rPr>
          <w:b/>
          <w:color w:val="252525"/>
        </w:rPr>
        <w:t xml:space="preserve">ESG </w:t>
      </w:r>
      <w:r w:rsidR="0028580F">
        <w:rPr>
          <w:b/>
          <w:color w:val="252525"/>
        </w:rPr>
        <w:t xml:space="preserve">BOND </w:t>
      </w:r>
      <w:r w:rsidRPr="00DC6729">
        <w:rPr>
          <w:b/>
          <w:color w:val="252525"/>
        </w:rPr>
        <w:t>FUND</w:t>
      </w:r>
    </w:p>
    <w:p w:rsidR="00F62139" w:rsidRPr="00DC6729" w:rsidRDefault="00F62139" w:rsidP="00F62139">
      <w:pPr>
        <w:pStyle w:val="BodyALG"/>
        <w:jc w:val="center"/>
      </w:pPr>
      <w:r w:rsidRPr="00DC6729">
        <w:rPr>
          <w:b/>
          <w:color w:val="252525"/>
        </w:rPr>
        <w:t xml:space="preserve">SUPPLEMENT TO THE PROSPECTUS FOR </w:t>
      </w:r>
      <w:r>
        <w:rPr>
          <w:b/>
          <w:color w:val="252525"/>
        </w:rPr>
        <w:t>ELEVATION UCITS FUNDS (IRELAND) ICAV</w:t>
      </w:r>
    </w:p>
    <w:p w:rsidR="00F62139" w:rsidRDefault="00F62139" w:rsidP="00F62139">
      <w:pPr>
        <w:pStyle w:val="BodyALG"/>
      </w:pPr>
      <w:r w:rsidRPr="00DC6729">
        <w:t xml:space="preserve">This document supplements the current prospectus for </w:t>
      </w:r>
      <w:r w:rsidRPr="007E3CF6">
        <w:t xml:space="preserve">Elevation UCITS Funds </w:t>
      </w:r>
      <w:r>
        <w:t>(</w:t>
      </w:r>
      <w:r w:rsidRPr="007E3CF6">
        <w:t>Ireland</w:t>
      </w:r>
      <w:r>
        <w:t>)</w:t>
      </w:r>
      <w:r w:rsidRPr="007E3CF6">
        <w:t xml:space="preserve"> ICAV </w:t>
      </w:r>
      <w:r w:rsidRPr="00DC6729">
        <w:t xml:space="preserve">(the </w:t>
      </w:r>
      <w:r>
        <w:rPr>
          <w:b/>
        </w:rPr>
        <w:t>ICAV</w:t>
      </w:r>
      <w:r w:rsidRPr="00DC6729">
        <w:t xml:space="preserve">) dated </w:t>
      </w:r>
      <w:r w:rsidR="00110E8E">
        <w:rPr>
          <w:b/>
        </w:rPr>
        <w:t>4 July 2019</w:t>
      </w:r>
      <w:r>
        <w:t xml:space="preserve"> </w:t>
      </w:r>
      <w:r w:rsidRPr="00DC6729">
        <w:t xml:space="preserve">(the </w:t>
      </w:r>
      <w:r w:rsidRPr="00DC6729">
        <w:rPr>
          <w:b/>
        </w:rPr>
        <w:t>Prospectus</w:t>
      </w:r>
      <w:r w:rsidRPr="00DC6729">
        <w:t>).</w:t>
      </w:r>
      <w:r>
        <w:t xml:space="preserve"> </w:t>
      </w:r>
      <w:r w:rsidRPr="00DC6729">
        <w:t xml:space="preserve">This supplement contains specific information in relation to </w:t>
      </w:r>
      <w:r>
        <w:t>K</w:t>
      </w:r>
      <w:r w:rsidR="00E707E5">
        <w:t>ingswood</w:t>
      </w:r>
      <w:r>
        <w:t xml:space="preserve"> </w:t>
      </w:r>
      <w:r w:rsidR="003F0C7E">
        <w:t xml:space="preserve">ESG </w:t>
      </w:r>
      <w:r w:rsidR="0028580F">
        <w:t xml:space="preserve">Bond </w:t>
      </w:r>
      <w:r w:rsidRPr="00DC6729">
        <w:t xml:space="preserve">Fund (the </w:t>
      </w:r>
      <w:r>
        <w:rPr>
          <w:b/>
        </w:rPr>
        <w:t>Fund</w:t>
      </w:r>
      <w:r w:rsidRPr="00DC6729">
        <w:t xml:space="preserve">), a sub-fund of the </w:t>
      </w:r>
      <w:r>
        <w:t>ICAV</w:t>
      </w:r>
      <w:r w:rsidRPr="00DC6729">
        <w:t xml:space="preserve">, an umbrella fund with segregated liability between sub-funds and an open-ended </w:t>
      </w:r>
      <w:r>
        <w:t xml:space="preserve">Irish collective asset-management vehicle </w:t>
      </w:r>
      <w:r w:rsidRPr="00DC6729">
        <w:t>with variable capital authorised as a UCITS pursuant to the Regulations.</w:t>
      </w:r>
    </w:p>
    <w:p w:rsidR="00F62139" w:rsidRPr="00777E44" w:rsidRDefault="00F62139" w:rsidP="00F62139">
      <w:pPr>
        <w:pStyle w:val="BodyALG"/>
        <w:rPr>
          <w:b/>
        </w:rPr>
      </w:pPr>
      <w:r w:rsidRPr="009735A9">
        <w:rPr>
          <w:b/>
        </w:rPr>
        <w:t>This Supplement forms part of and should be read in conjunction with the Prospectus.</w:t>
      </w:r>
    </w:p>
    <w:p w:rsidR="00F62139" w:rsidRPr="00DC6729" w:rsidRDefault="00F62139" w:rsidP="00F62139">
      <w:pPr>
        <w:pStyle w:val="BodyALG"/>
      </w:pPr>
      <w:r w:rsidRPr="00DC6729">
        <w:t xml:space="preserve">The Directors, whose names appear in the section of the Prospectus entitled </w:t>
      </w:r>
      <w:r w:rsidRPr="00DC6729">
        <w:rPr>
          <w:b/>
        </w:rPr>
        <w:t xml:space="preserve">Directors of the </w:t>
      </w:r>
      <w:r>
        <w:rPr>
          <w:b/>
        </w:rPr>
        <w:t>ICAV</w:t>
      </w:r>
      <w:r w:rsidRPr="00994AE8">
        <w:t>,</w:t>
      </w:r>
      <w:r w:rsidRPr="00DC6729">
        <w:t xml:space="preserve"> accept responsibility for the information contained in this supplement and in the Prospectus.</w:t>
      </w:r>
      <w:r>
        <w:t xml:space="preserve"> </w:t>
      </w:r>
      <w:r w:rsidRPr="00DC6729">
        <w:t>To the best of the knowledge and belief of the Directors (who have taken all reasonable care to ensure such is the case) the information contained in this supplement and in the Prospectus is in accordance with the facts and does not omit anything likely to affect the import of such information.</w:t>
      </w:r>
      <w:r>
        <w:t xml:space="preserve"> </w:t>
      </w:r>
      <w:r w:rsidRPr="00DC6729">
        <w:t>The Directors accept responsibility accordingly.</w:t>
      </w:r>
    </w:p>
    <w:p w:rsidR="00F62139" w:rsidRDefault="00F62139" w:rsidP="00F62139">
      <w:pPr>
        <w:pStyle w:val="BodyALG"/>
        <w:rPr>
          <w:b/>
        </w:rPr>
      </w:pPr>
      <w:r w:rsidRPr="00DC6729">
        <w:rPr>
          <w:b/>
        </w:rPr>
        <w:t xml:space="preserve">Shareholders should note that management fees and/or all or part of the fees and expenses may be charged (in whole or part) to the capital of the </w:t>
      </w:r>
      <w:r>
        <w:rPr>
          <w:b/>
        </w:rPr>
        <w:t>Fund</w:t>
      </w:r>
      <w:r w:rsidRPr="00DC6729">
        <w:rPr>
          <w:b/>
        </w:rPr>
        <w:t>.</w:t>
      </w:r>
      <w:r>
        <w:rPr>
          <w:b/>
        </w:rPr>
        <w:t xml:space="preserve"> </w:t>
      </w:r>
      <w:r w:rsidRPr="00DC6729">
        <w:rPr>
          <w:b/>
        </w:rPr>
        <w:t>Where such fees and expenses are charged to capital, Shareholders may not receive back the full amount invested on repurchases of Shares which would have the effect of lowering the capital value of your investment.</w:t>
      </w:r>
    </w:p>
    <w:p w:rsidR="00F62139" w:rsidRDefault="00F62139" w:rsidP="00F62139">
      <w:pPr>
        <w:pStyle w:val="BodyALG"/>
        <w:rPr>
          <w:b/>
        </w:rPr>
      </w:pPr>
      <w:r>
        <w:rPr>
          <w:b/>
        </w:rPr>
        <w:t>An investment in the Fund should not constitute a substantial proportion of an investment portfolio and may not be appropriate for all investors.</w:t>
      </w:r>
      <w:r w:rsidR="00EF7DD2" w:rsidRPr="00EF7DD2">
        <w:rPr>
          <w:b/>
        </w:rPr>
        <w:t xml:space="preserve"> Investors should read and consider the section of the Prospectus entitled “Risk Factors” before investing in the Fund.</w:t>
      </w:r>
    </w:p>
    <w:p w:rsidR="00F62139" w:rsidRDefault="00F62139" w:rsidP="00F62139">
      <w:pPr>
        <w:pStyle w:val="BodyALG"/>
        <w:rPr>
          <w:b/>
        </w:rPr>
      </w:pPr>
      <w:r w:rsidRPr="005F04BE">
        <w:rPr>
          <w:b/>
        </w:rPr>
        <w:t xml:space="preserve">Date: </w:t>
      </w:r>
      <w:r w:rsidR="00DF4212">
        <w:rPr>
          <w:b/>
        </w:rPr>
        <w:t>1 FEBRUARY 2021</w:t>
      </w:r>
    </w:p>
    <w:p w:rsidR="00F62139" w:rsidRDefault="00F62139" w:rsidP="00F62139">
      <w:pPr>
        <w:pStyle w:val="BodyALG"/>
        <w:rPr>
          <w:b/>
        </w:rPr>
      </w:pPr>
      <w:r>
        <w:rPr>
          <w:b/>
        </w:rPr>
        <w:br w:type="page"/>
      </w:r>
    </w:p>
    <w:p w:rsidR="00F62139" w:rsidRPr="005F04BE" w:rsidRDefault="00F62139" w:rsidP="00F62139">
      <w:pPr>
        <w:pStyle w:val="BodyALG"/>
      </w:pPr>
    </w:p>
    <w:p w:rsidR="00F62139" w:rsidRPr="00DC6729" w:rsidRDefault="00F62139" w:rsidP="00F62139">
      <w:pPr>
        <w:pStyle w:val="BodyALG"/>
        <w:jc w:val="center"/>
      </w:pPr>
      <w:r w:rsidRPr="00DC6729">
        <w:rPr>
          <w:b/>
        </w:rPr>
        <w:t>TABLE OF CONTENTS</w:t>
      </w:r>
    </w:p>
    <w:p w:rsidR="0042315A" w:rsidRDefault="00F62139">
      <w:pPr>
        <w:pStyle w:val="TOC1"/>
        <w:rPr>
          <w:rFonts w:asciiTheme="minorHAnsi" w:eastAsiaTheme="minorEastAsia" w:hAnsiTheme="minorHAnsi"/>
          <w:noProof/>
          <w:sz w:val="22"/>
          <w:szCs w:val="22"/>
          <w:lang w:eastAsia="en-IE"/>
        </w:rPr>
      </w:pPr>
      <w:r w:rsidRPr="00DC6729">
        <w:rPr>
          <w:rFonts w:eastAsia="Verdana"/>
          <w:b/>
          <w:caps/>
        </w:rPr>
        <w:fldChar w:fldCharType="begin"/>
      </w:r>
      <w:r w:rsidRPr="00DC6729">
        <w:rPr>
          <w:rFonts w:eastAsia="Verdana"/>
          <w:b/>
          <w:caps/>
        </w:rPr>
        <w:instrText xml:space="preserve"> TOC \o "1-1" \h \z </w:instrText>
      </w:r>
      <w:r w:rsidRPr="00DC6729">
        <w:rPr>
          <w:rFonts w:eastAsia="Verdana"/>
          <w:b/>
          <w:caps/>
        </w:rPr>
        <w:fldChar w:fldCharType="separate"/>
      </w:r>
      <w:hyperlink w:anchor="_Toc13488206" w:history="1">
        <w:r w:rsidR="0042315A" w:rsidRPr="00D160D5">
          <w:rPr>
            <w:rStyle w:val="Hyperlink"/>
            <w:noProof/>
          </w:rPr>
          <w:t>1</w:t>
        </w:r>
        <w:r w:rsidR="0042315A">
          <w:rPr>
            <w:rFonts w:asciiTheme="minorHAnsi" w:eastAsiaTheme="minorEastAsia" w:hAnsiTheme="minorHAnsi"/>
            <w:noProof/>
            <w:sz w:val="22"/>
            <w:szCs w:val="22"/>
            <w:lang w:eastAsia="en-IE"/>
          </w:rPr>
          <w:tab/>
        </w:r>
        <w:r w:rsidR="0042315A" w:rsidRPr="00D160D5">
          <w:rPr>
            <w:rStyle w:val="Hyperlink"/>
            <w:noProof/>
          </w:rPr>
          <w:t>Definitions</w:t>
        </w:r>
        <w:r w:rsidR="0042315A">
          <w:rPr>
            <w:noProof/>
            <w:webHidden/>
          </w:rPr>
          <w:tab/>
        </w:r>
        <w:r w:rsidR="0042315A">
          <w:rPr>
            <w:noProof/>
            <w:webHidden/>
          </w:rPr>
          <w:fldChar w:fldCharType="begin"/>
        </w:r>
        <w:r w:rsidR="0042315A">
          <w:rPr>
            <w:noProof/>
            <w:webHidden/>
          </w:rPr>
          <w:instrText xml:space="preserve"> PAGEREF _Toc13488206 \h </w:instrText>
        </w:r>
        <w:r w:rsidR="0042315A">
          <w:rPr>
            <w:noProof/>
            <w:webHidden/>
          </w:rPr>
        </w:r>
        <w:r w:rsidR="0042315A">
          <w:rPr>
            <w:noProof/>
            <w:webHidden/>
          </w:rPr>
          <w:fldChar w:fldCharType="separate"/>
        </w:r>
        <w:r w:rsidR="0042315A">
          <w:rPr>
            <w:noProof/>
            <w:webHidden/>
          </w:rPr>
          <w:t>3</w:t>
        </w:r>
        <w:r w:rsidR="0042315A">
          <w:rPr>
            <w:noProof/>
            <w:webHidden/>
          </w:rPr>
          <w:fldChar w:fldCharType="end"/>
        </w:r>
      </w:hyperlink>
    </w:p>
    <w:p w:rsidR="0042315A" w:rsidRDefault="00DF4212">
      <w:pPr>
        <w:pStyle w:val="TOC1"/>
        <w:rPr>
          <w:rFonts w:asciiTheme="minorHAnsi" w:eastAsiaTheme="minorEastAsia" w:hAnsiTheme="minorHAnsi"/>
          <w:noProof/>
          <w:sz w:val="22"/>
          <w:szCs w:val="22"/>
          <w:lang w:eastAsia="en-IE"/>
        </w:rPr>
      </w:pPr>
      <w:hyperlink w:anchor="_Toc13488207" w:history="1">
        <w:r w:rsidR="0042315A" w:rsidRPr="00D160D5">
          <w:rPr>
            <w:rStyle w:val="Hyperlink"/>
            <w:noProof/>
          </w:rPr>
          <w:t>2</w:t>
        </w:r>
        <w:r w:rsidR="0042315A">
          <w:rPr>
            <w:rFonts w:asciiTheme="minorHAnsi" w:eastAsiaTheme="minorEastAsia" w:hAnsiTheme="minorHAnsi"/>
            <w:noProof/>
            <w:sz w:val="22"/>
            <w:szCs w:val="22"/>
            <w:lang w:eastAsia="en-IE"/>
          </w:rPr>
          <w:tab/>
        </w:r>
        <w:r w:rsidR="0042315A" w:rsidRPr="00D160D5">
          <w:rPr>
            <w:rStyle w:val="Hyperlink"/>
            <w:noProof/>
          </w:rPr>
          <w:t>Investment Manager</w:t>
        </w:r>
        <w:r w:rsidR="0042315A">
          <w:rPr>
            <w:noProof/>
            <w:webHidden/>
          </w:rPr>
          <w:tab/>
        </w:r>
        <w:r w:rsidR="0042315A">
          <w:rPr>
            <w:noProof/>
            <w:webHidden/>
          </w:rPr>
          <w:fldChar w:fldCharType="begin"/>
        </w:r>
        <w:r w:rsidR="0042315A">
          <w:rPr>
            <w:noProof/>
            <w:webHidden/>
          </w:rPr>
          <w:instrText xml:space="preserve"> PAGEREF _Toc13488207 \h </w:instrText>
        </w:r>
        <w:r w:rsidR="0042315A">
          <w:rPr>
            <w:noProof/>
            <w:webHidden/>
          </w:rPr>
        </w:r>
        <w:r w:rsidR="0042315A">
          <w:rPr>
            <w:noProof/>
            <w:webHidden/>
          </w:rPr>
          <w:fldChar w:fldCharType="separate"/>
        </w:r>
        <w:r w:rsidR="0042315A">
          <w:rPr>
            <w:noProof/>
            <w:webHidden/>
          </w:rPr>
          <w:t>3</w:t>
        </w:r>
        <w:r w:rsidR="0042315A">
          <w:rPr>
            <w:noProof/>
            <w:webHidden/>
          </w:rPr>
          <w:fldChar w:fldCharType="end"/>
        </w:r>
      </w:hyperlink>
    </w:p>
    <w:p w:rsidR="0042315A" w:rsidRDefault="00DF4212">
      <w:pPr>
        <w:pStyle w:val="TOC1"/>
        <w:rPr>
          <w:rFonts w:asciiTheme="minorHAnsi" w:eastAsiaTheme="minorEastAsia" w:hAnsiTheme="minorHAnsi"/>
          <w:noProof/>
          <w:sz w:val="22"/>
          <w:szCs w:val="22"/>
          <w:lang w:eastAsia="en-IE"/>
        </w:rPr>
      </w:pPr>
      <w:hyperlink w:anchor="_Toc13488208" w:history="1">
        <w:r w:rsidR="0042315A" w:rsidRPr="00D160D5">
          <w:rPr>
            <w:rStyle w:val="Hyperlink"/>
            <w:noProof/>
          </w:rPr>
          <w:t>3</w:t>
        </w:r>
        <w:r w:rsidR="0042315A">
          <w:rPr>
            <w:rFonts w:asciiTheme="minorHAnsi" w:eastAsiaTheme="minorEastAsia" w:hAnsiTheme="minorHAnsi"/>
            <w:noProof/>
            <w:sz w:val="22"/>
            <w:szCs w:val="22"/>
            <w:lang w:eastAsia="en-IE"/>
          </w:rPr>
          <w:tab/>
        </w:r>
        <w:r w:rsidR="0042315A" w:rsidRPr="00D160D5">
          <w:rPr>
            <w:rStyle w:val="Hyperlink"/>
            <w:noProof/>
          </w:rPr>
          <w:t>Profile of a typical investor</w:t>
        </w:r>
        <w:r w:rsidR="0042315A">
          <w:rPr>
            <w:noProof/>
            <w:webHidden/>
          </w:rPr>
          <w:tab/>
        </w:r>
        <w:r w:rsidR="0042315A">
          <w:rPr>
            <w:noProof/>
            <w:webHidden/>
          </w:rPr>
          <w:fldChar w:fldCharType="begin"/>
        </w:r>
        <w:r w:rsidR="0042315A">
          <w:rPr>
            <w:noProof/>
            <w:webHidden/>
          </w:rPr>
          <w:instrText xml:space="preserve"> PAGEREF _Toc13488208 \h </w:instrText>
        </w:r>
        <w:r w:rsidR="0042315A">
          <w:rPr>
            <w:noProof/>
            <w:webHidden/>
          </w:rPr>
        </w:r>
        <w:r w:rsidR="0042315A">
          <w:rPr>
            <w:noProof/>
            <w:webHidden/>
          </w:rPr>
          <w:fldChar w:fldCharType="separate"/>
        </w:r>
        <w:r w:rsidR="0042315A">
          <w:rPr>
            <w:noProof/>
            <w:webHidden/>
          </w:rPr>
          <w:t>3</w:t>
        </w:r>
        <w:r w:rsidR="0042315A">
          <w:rPr>
            <w:noProof/>
            <w:webHidden/>
          </w:rPr>
          <w:fldChar w:fldCharType="end"/>
        </w:r>
      </w:hyperlink>
    </w:p>
    <w:p w:rsidR="0042315A" w:rsidRDefault="00DF4212">
      <w:pPr>
        <w:pStyle w:val="TOC1"/>
        <w:rPr>
          <w:rFonts w:asciiTheme="minorHAnsi" w:eastAsiaTheme="minorEastAsia" w:hAnsiTheme="minorHAnsi"/>
          <w:noProof/>
          <w:sz w:val="22"/>
          <w:szCs w:val="22"/>
          <w:lang w:eastAsia="en-IE"/>
        </w:rPr>
      </w:pPr>
      <w:hyperlink w:anchor="_Toc13488209" w:history="1">
        <w:r w:rsidR="0042315A" w:rsidRPr="00D160D5">
          <w:rPr>
            <w:rStyle w:val="Hyperlink"/>
            <w:noProof/>
          </w:rPr>
          <w:t>4</w:t>
        </w:r>
        <w:r w:rsidR="0042315A">
          <w:rPr>
            <w:rFonts w:asciiTheme="minorHAnsi" w:eastAsiaTheme="minorEastAsia" w:hAnsiTheme="minorHAnsi"/>
            <w:noProof/>
            <w:sz w:val="22"/>
            <w:szCs w:val="22"/>
            <w:lang w:eastAsia="en-IE"/>
          </w:rPr>
          <w:tab/>
        </w:r>
        <w:r w:rsidR="0042315A" w:rsidRPr="00D160D5">
          <w:rPr>
            <w:rStyle w:val="Hyperlink"/>
            <w:noProof/>
          </w:rPr>
          <w:t>Investment objective</w:t>
        </w:r>
        <w:r w:rsidR="0042315A">
          <w:rPr>
            <w:noProof/>
            <w:webHidden/>
          </w:rPr>
          <w:tab/>
        </w:r>
        <w:r w:rsidR="0042315A">
          <w:rPr>
            <w:noProof/>
            <w:webHidden/>
          </w:rPr>
          <w:fldChar w:fldCharType="begin"/>
        </w:r>
        <w:r w:rsidR="0042315A">
          <w:rPr>
            <w:noProof/>
            <w:webHidden/>
          </w:rPr>
          <w:instrText xml:space="preserve"> PAGEREF _Toc13488209 \h </w:instrText>
        </w:r>
        <w:r w:rsidR="0042315A">
          <w:rPr>
            <w:noProof/>
            <w:webHidden/>
          </w:rPr>
        </w:r>
        <w:r w:rsidR="0042315A">
          <w:rPr>
            <w:noProof/>
            <w:webHidden/>
          </w:rPr>
          <w:fldChar w:fldCharType="separate"/>
        </w:r>
        <w:r w:rsidR="0042315A">
          <w:rPr>
            <w:noProof/>
            <w:webHidden/>
          </w:rPr>
          <w:t>3</w:t>
        </w:r>
        <w:r w:rsidR="0042315A">
          <w:rPr>
            <w:noProof/>
            <w:webHidden/>
          </w:rPr>
          <w:fldChar w:fldCharType="end"/>
        </w:r>
      </w:hyperlink>
    </w:p>
    <w:p w:rsidR="0042315A" w:rsidRDefault="00DF4212">
      <w:pPr>
        <w:pStyle w:val="TOC1"/>
        <w:rPr>
          <w:rFonts w:asciiTheme="minorHAnsi" w:eastAsiaTheme="minorEastAsia" w:hAnsiTheme="minorHAnsi"/>
          <w:noProof/>
          <w:sz w:val="22"/>
          <w:szCs w:val="22"/>
          <w:lang w:eastAsia="en-IE"/>
        </w:rPr>
      </w:pPr>
      <w:hyperlink w:anchor="_Toc13488210" w:history="1">
        <w:r w:rsidR="0042315A" w:rsidRPr="00D160D5">
          <w:rPr>
            <w:rStyle w:val="Hyperlink"/>
            <w:noProof/>
          </w:rPr>
          <w:t>5</w:t>
        </w:r>
        <w:r w:rsidR="0042315A">
          <w:rPr>
            <w:rFonts w:asciiTheme="minorHAnsi" w:eastAsiaTheme="minorEastAsia" w:hAnsiTheme="minorHAnsi"/>
            <w:noProof/>
            <w:sz w:val="22"/>
            <w:szCs w:val="22"/>
            <w:lang w:eastAsia="en-IE"/>
          </w:rPr>
          <w:tab/>
        </w:r>
        <w:r w:rsidR="0042315A" w:rsidRPr="00D160D5">
          <w:rPr>
            <w:rStyle w:val="Hyperlink"/>
            <w:noProof/>
          </w:rPr>
          <w:t>Investment policy</w:t>
        </w:r>
        <w:r w:rsidR="0042315A">
          <w:rPr>
            <w:noProof/>
            <w:webHidden/>
          </w:rPr>
          <w:tab/>
        </w:r>
        <w:r w:rsidR="0042315A">
          <w:rPr>
            <w:noProof/>
            <w:webHidden/>
          </w:rPr>
          <w:fldChar w:fldCharType="begin"/>
        </w:r>
        <w:r w:rsidR="0042315A">
          <w:rPr>
            <w:noProof/>
            <w:webHidden/>
          </w:rPr>
          <w:instrText xml:space="preserve"> PAGEREF _Toc13488210 \h </w:instrText>
        </w:r>
        <w:r w:rsidR="0042315A">
          <w:rPr>
            <w:noProof/>
            <w:webHidden/>
          </w:rPr>
        </w:r>
        <w:r w:rsidR="0042315A">
          <w:rPr>
            <w:noProof/>
            <w:webHidden/>
          </w:rPr>
          <w:fldChar w:fldCharType="separate"/>
        </w:r>
        <w:r w:rsidR="0042315A">
          <w:rPr>
            <w:noProof/>
            <w:webHidden/>
          </w:rPr>
          <w:t>4</w:t>
        </w:r>
        <w:r w:rsidR="0042315A">
          <w:rPr>
            <w:noProof/>
            <w:webHidden/>
          </w:rPr>
          <w:fldChar w:fldCharType="end"/>
        </w:r>
      </w:hyperlink>
    </w:p>
    <w:p w:rsidR="0042315A" w:rsidRDefault="00DF4212">
      <w:pPr>
        <w:pStyle w:val="TOC1"/>
        <w:rPr>
          <w:rFonts w:asciiTheme="minorHAnsi" w:eastAsiaTheme="minorEastAsia" w:hAnsiTheme="minorHAnsi"/>
          <w:noProof/>
          <w:sz w:val="22"/>
          <w:szCs w:val="22"/>
          <w:lang w:eastAsia="en-IE"/>
        </w:rPr>
      </w:pPr>
      <w:hyperlink w:anchor="_Toc13488211" w:history="1">
        <w:r w:rsidR="0042315A" w:rsidRPr="00D160D5">
          <w:rPr>
            <w:rStyle w:val="Hyperlink"/>
            <w:noProof/>
          </w:rPr>
          <w:t>6</w:t>
        </w:r>
        <w:r w:rsidR="0042315A">
          <w:rPr>
            <w:rFonts w:asciiTheme="minorHAnsi" w:eastAsiaTheme="minorEastAsia" w:hAnsiTheme="minorHAnsi"/>
            <w:noProof/>
            <w:sz w:val="22"/>
            <w:szCs w:val="22"/>
            <w:lang w:eastAsia="en-IE"/>
          </w:rPr>
          <w:tab/>
        </w:r>
        <w:r w:rsidR="0042315A" w:rsidRPr="00D160D5">
          <w:rPr>
            <w:rStyle w:val="Hyperlink"/>
            <w:noProof/>
          </w:rPr>
          <w:t>Investment restrictions</w:t>
        </w:r>
        <w:r w:rsidR="0042315A">
          <w:rPr>
            <w:noProof/>
            <w:webHidden/>
          </w:rPr>
          <w:tab/>
        </w:r>
        <w:r w:rsidR="0042315A">
          <w:rPr>
            <w:noProof/>
            <w:webHidden/>
          </w:rPr>
          <w:fldChar w:fldCharType="begin"/>
        </w:r>
        <w:r w:rsidR="0042315A">
          <w:rPr>
            <w:noProof/>
            <w:webHidden/>
          </w:rPr>
          <w:instrText xml:space="preserve"> PAGEREF _Toc13488211 \h </w:instrText>
        </w:r>
        <w:r w:rsidR="0042315A">
          <w:rPr>
            <w:noProof/>
            <w:webHidden/>
          </w:rPr>
        </w:r>
        <w:r w:rsidR="0042315A">
          <w:rPr>
            <w:noProof/>
            <w:webHidden/>
          </w:rPr>
          <w:fldChar w:fldCharType="separate"/>
        </w:r>
        <w:r w:rsidR="0042315A">
          <w:rPr>
            <w:noProof/>
            <w:webHidden/>
          </w:rPr>
          <w:t>5</w:t>
        </w:r>
        <w:r w:rsidR="0042315A">
          <w:rPr>
            <w:noProof/>
            <w:webHidden/>
          </w:rPr>
          <w:fldChar w:fldCharType="end"/>
        </w:r>
      </w:hyperlink>
    </w:p>
    <w:p w:rsidR="0042315A" w:rsidRDefault="00DF4212">
      <w:pPr>
        <w:pStyle w:val="TOC1"/>
        <w:rPr>
          <w:rFonts w:asciiTheme="minorHAnsi" w:eastAsiaTheme="minorEastAsia" w:hAnsiTheme="minorHAnsi"/>
          <w:noProof/>
          <w:sz w:val="22"/>
          <w:szCs w:val="22"/>
          <w:lang w:eastAsia="en-IE"/>
        </w:rPr>
      </w:pPr>
      <w:hyperlink w:anchor="_Toc13488212" w:history="1">
        <w:r w:rsidR="0042315A" w:rsidRPr="00D160D5">
          <w:rPr>
            <w:rStyle w:val="Hyperlink"/>
            <w:noProof/>
          </w:rPr>
          <w:t>7</w:t>
        </w:r>
        <w:r w:rsidR="0042315A">
          <w:rPr>
            <w:rFonts w:asciiTheme="minorHAnsi" w:eastAsiaTheme="minorEastAsia" w:hAnsiTheme="minorHAnsi"/>
            <w:noProof/>
            <w:sz w:val="22"/>
            <w:szCs w:val="22"/>
            <w:lang w:eastAsia="en-IE"/>
          </w:rPr>
          <w:tab/>
        </w:r>
        <w:r w:rsidR="0042315A" w:rsidRPr="00D160D5">
          <w:rPr>
            <w:rStyle w:val="Hyperlink"/>
            <w:noProof/>
          </w:rPr>
          <w:t>Borrowing and leverage</w:t>
        </w:r>
        <w:r w:rsidR="0042315A">
          <w:rPr>
            <w:noProof/>
            <w:webHidden/>
          </w:rPr>
          <w:tab/>
        </w:r>
        <w:r w:rsidR="0042315A">
          <w:rPr>
            <w:noProof/>
            <w:webHidden/>
          </w:rPr>
          <w:fldChar w:fldCharType="begin"/>
        </w:r>
        <w:r w:rsidR="0042315A">
          <w:rPr>
            <w:noProof/>
            <w:webHidden/>
          </w:rPr>
          <w:instrText xml:space="preserve"> PAGEREF _Toc13488212 \h </w:instrText>
        </w:r>
        <w:r w:rsidR="0042315A">
          <w:rPr>
            <w:noProof/>
            <w:webHidden/>
          </w:rPr>
        </w:r>
        <w:r w:rsidR="0042315A">
          <w:rPr>
            <w:noProof/>
            <w:webHidden/>
          </w:rPr>
          <w:fldChar w:fldCharType="separate"/>
        </w:r>
        <w:r w:rsidR="0042315A">
          <w:rPr>
            <w:noProof/>
            <w:webHidden/>
          </w:rPr>
          <w:t>6</w:t>
        </w:r>
        <w:r w:rsidR="0042315A">
          <w:rPr>
            <w:noProof/>
            <w:webHidden/>
          </w:rPr>
          <w:fldChar w:fldCharType="end"/>
        </w:r>
      </w:hyperlink>
    </w:p>
    <w:p w:rsidR="0042315A" w:rsidRDefault="00DF4212">
      <w:pPr>
        <w:pStyle w:val="TOC1"/>
        <w:rPr>
          <w:rFonts w:asciiTheme="minorHAnsi" w:eastAsiaTheme="minorEastAsia" w:hAnsiTheme="minorHAnsi"/>
          <w:noProof/>
          <w:sz w:val="22"/>
          <w:szCs w:val="22"/>
          <w:lang w:eastAsia="en-IE"/>
        </w:rPr>
      </w:pPr>
      <w:hyperlink w:anchor="_Toc13488213" w:history="1">
        <w:r w:rsidR="0042315A" w:rsidRPr="00D160D5">
          <w:rPr>
            <w:rStyle w:val="Hyperlink"/>
            <w:noProof/>
          </w:rPr>
          <w:t>8</w:t>
        </w:r>
        <w:r w:rsidR="0042315A">
          <w:rPr>
            <w:rFonts w:asciiTheme="minorHAnsi" w:eastAsiaTheme="minorEastAsia" w:hAnsiTheme="minorHAnsi"/>
            <w:noProof/>
            <w:sz w:val="22"/>
            <w:szCs w:val="22"/>
            <w:lang w:eastAsia="en-IE"/>
          </w:rPr>
          <w:tab/>
        </w:r>
        <w:r w:rsidR="0042315A" w:rsidRPr="00D160D5">
          <w:rPr>
            <w:rStyle w:val="Hyperlink"/>
            <w:noProof/>
          </w:rPr>
          <w:t>Risk factors</w:t>
        </w:r>
        <w:r w:rsidR="0042315A">
          <w:rPr>
            <w:noProof/>
            <w:webHidden/>
          </w:rPr>
          <w:tab/>
        </w:r>
        <w:r w:rsidR="0042315A">
          <w:rPr>
            <w:noProof/>
            <w:webHidden/>
          </w:rPr>
          <w:fldChar w:fldCharType="begin"/>
        </w:r>
        <w:r w:rsidR="0042315A">
          <w:rPr>
            <w:noProof/>
            <w:webHidden/>
          </w:rPr>
          <w:instrText xml:space="preserve"> PAGEREF _Toc13488213 \h </w:instrText>
        </w:r>
        <w:r w:rsidR="0042315A">
          <w:rPr>
            <w:noProof/>
            <w:webHidden/>
          </w:rPr>
        </w:r>
        <w:r w:rsidR="0042315A">
          <w:rPr>
            <w:noProof/>
            <w:webHidden/>
          </w:rPr>
          <w:fldChar w:fldCharType="separate"/>
        </w:r>
        <w:r w:rsidR="0042315A">
          <w:rPr>
            <w:noProof/>
            <w:webHidden/>
          </w:rPr>
          <w:t>6</w:t>
        </w:r>
        <w:r w:rsidR="0042315A">
          <w:rPr>
            <w:noProof/>
            <w:webHidden/>
          </w:rPr>
          <w:fldChar w:fldCharType="end"/>
        </w:r>
      </w:hyperlink>
    </w:p>
    <w:p w:rsidR="0042315A" w:rsidRDefault="00DF4212">
      <w:pPr>
        <w:pStyle w:val="TOC1"/>
        <w:rPr>
          <w:rFonts w:asciiTheme="minorHAnsi" w:eastAsiaTheme="minorEastAsia" w:hAnsiTheme="minorHAnsi"/>
          <w:noProof/>
          <w:sz w:val="22"/>
          <w:szCs w:val="22"/>
          <w:lang w:eastAsia="en-IE"/>
        </w:rPr>
      </w:pPr>
      <w:hyperlink w:anchor="_Toc13488214" w:history="1">
        <w:r w:rsidR="0042315A" w:rsidRPr="00D160D5">
          <w:rPr>
            <w:rStyle w:val="Hyperlink"/>
            <w:noProof/>
          </w:rPr>
          <w:t>9</w:t>
        </w:r>
        <w:r w:rsidR="0042315A">
          <w:rPr>
            <w:rFonts w:asciiTheme="minorHAnsi" w:eastAsiaTheme="minorEastAsia" w:hAnsiTheme="minorHAnsi"/>
            <w:noProof/>
            <w:sz w:val="22"/>
            <w:szCs w:val="22"/>
            <w:lang w:eastAsia="en-IE"/>
          </w:rPr>
          <w:tab/>
        </w:r>
        <w:r w:rsidR="0042315A" w:rsidRPr="00D160D5">
          <w:rPr>
            <w:rStyle w:val="Hyperlink"/>
            <w:noProof/>
          </w:rPr>
          <w:t>Key information for purchasing and repurchasing</w:t>
        </w:r>
        <w:r w:rsidR="0042315A">
          <w:rPr>
            <w:noProof/>
            <w:webHidden/>
          </w:rPr>
          <w:tab/>
        </w:r>
        <w:r w:rsidR="0042315A">
          <w:rPr>
            <w:noProof/>
            <w:webHidden/>
          </w:rPr>
          <w:fldChar w:fldCharType="begin"/>
        </w:r>
        <w:r w:rsidR="0042315A">
          <w:rPr>
            <w:noProof/>
            <w:webHidden/>
          </w:rPr>
          <w:instrText xml:space="preserve"> PAGEREF _Toc13488214 \h </w:instrText>
        </w:r>
        <w:r w:rsidR="0042315A">
          <w:rPr>
            <w:noProof/>
            <w:webHidden/>
          </w:rPr>
        </w:r>
        <w:r w:rsidR="0042315A">
          <w:rPr>
            <w:noProof/>
            <w:webHidden/>
          </w:rPr>
          <w:fldChar w:fldCharType="separate"/>
        </w:r>
        <w:r w:rsidR="0042315A">
          <w:rPr>
            <w:noProof/>
            <w:webHidden/>
          </w:rPr>
          <w:t>7</w:t>
        </w:r>
        <w:r w:rsidR="0042315A">
          <w:rPr>
            <w:noProof/>
            <w:webHidden/>
          </w:rPr>
          <w:fldChar w:fldCharType="end"/>
        </w:r>
      </w:hyperlink>
    </w:p>
    <w:p w:rsidR="0042315A" w:rsidRDefault="00DF4212">
      <w:pPr>
        <w:pStyle w:val="TOC1"/>
        <w:rPr>
          <w:rFonts w:asciiTheme="minorHAnsi" w:eastAsiaTheme="minorEastAsia" w:hAnsiTheme="minorHAnsi"/>
          <w:noProof/>
          <w:sz w:val="22"/>
          <w:szCs w:val="22"/>
          <w:lang w:eastAsia="en-IE"/>
        </w:rPr>
      </w:pPr>
      <w:hyperlink w:anchor="_Toc13488215" w:history="1">
        <w:r w:rsidR="0042315A" w:rsidRPr="00D160D5">
          <w:rPr>
            <w:rStyle w:val="Hyperlink"/>
            <w:noProof/>
          </w:rPr>
          <w:t>10</w:t>
        </w:r>
        <w:r w:rsidR="0042315A">
          <w:rPr>
            <w:rFonts w:asciiTheme="minorHAnsi" w:eastAsiaTheme="minorEastAsia" w:hAnsiTheme="minorHAnsi"/>
            <w:noProof/>
            <w:sz w:val="22"/>
            <w:szCs w:val="22"/>
            <w:lang w:eastAsia="en-IE"/>
          </w:rPr>
          <w:tab/>
        </w:r>
        <w:r w:rsidR="0042315A" w:rsidRPr="00D160D5">
          <w:rPr>
            <w:rStyle w:val="Hyperlink"/>
            <w:noProof/>
          </w:rPr>
          <w:t>Purchases of shares</w:t>
        </w:r>
        <w:r w:rsidR="0042315A">
          <w:rPr>
            <w:noProof/>
            <w:webHidden/>
          </w:rPr>
          <w:tab/>
        </w:r>
        <w:r w:rsidR="0042315A">
          <w:rPr>
            <w:noProof/>
            <w:webHidden/>
          </w:rPr>
          <w:fldChar w:fldCharType="begin"/>
        </w:r>
        <w:r w:rsidR="0042315A">
          <w:rPr>
            <w:noProof/>
            <w:webHidden/>
          </w:rPr>
          <w:instrText xml:space="preserve"> PAGEREF _Toc13488215 \h </w:instrText>
        </w:r>
        <w:r w:rsidR="0042315A">
          <w:rPr>
            <w:noProof/>
            <w:webHidden/>
          </w:rPr>
        </w:r>
        <w:r w:rsidR="0042315A">
          <w:rPr>
            <w:noProof/>
            <w:webHidden/>
          </w:rPr>
          <w:fldChar w:fldCharType="separate"/>
        </w:r>
        <w:r w:rsidR="0042315A">
          <w:rPr>
            <w:noProof/>
            <w:webHidden/>
          </w:rPr>
          <w:t>9</w:t>
        </w:r>
        <w:r w:rsidR="0042315A">
          <w:rPr>
            <w:noProof/>
            <w:webHidden/>
          </w:rPr>
          <w:fldChar w:fldCharType="end"/>
        </w:r>
      </w:hyperlink>
    </w:p>
    <w:p w:rsidR="0042315A" w:rsidRDefault="00DF4212">
      <w:pPr>
        <w:pStyle w:val="TOC1"/>
        <w:rPr>
          <w:rFonts w:asciiTheme="minorHAnsi" w:eastAsiaTheme="minorEastAsia" w:hAnsiTheme="minorHAnsi"/>
          <w:noProof/>
          <w:sz w:val="22"/>
          <w:szCs w:val="22"/>
          <w:lang w:eastAsia="en-IE"/>
        </w:rPr>
      </w:pPr>
      <w:hyperlink w:anchor="_Toc13488216" w:history="1">
        <w:r w:rsidR="0042315A" w:rsidRPr="00D160D5">
          <w:rPr>
            <w:rStyle w:val="Hyperlink"/>
            <w:noProof/>
          </w:rPr>
          <w:t>11</w:t>
        </w:r>
        <w:r w:rsidR="0042315A">
          <w:rPr>
            <w:rFonts w:asciiTheme="minorHAnsi" w:eastAsiaTheme="minorEastAsia" w:hAnsiTheme="minorHAnsi"/>
            <w:noProof/>
            <w:sz w:val="22"/>
            <w:szCs w:val="22"/>
            <w:lang w:eastAsia="en-IE"/>
          </w:rPr>
          <w:tab/>
        </w:r>
        <w:r w:rsidR="0042315A" w:rsidRPr="00D160D5">
          <w:rPr>
            <w:rStyle w:val="Hyperlink"/>
            <w:noProof/>
          </w:rPr>
          <w:t>Repurchases of shares</w:t>
        </w:r>
        <w:r w:rsidR="0042315A">
          <w:rPr>
            <w:noProof/>
            <w:webHidden/>
          </w:rPr>
          <w:tab/>
        </w:r>
        <w:r w:rsidR="0042315A">
          <w:rPr>
            <w:noProof/>
            <w:webHidden/>
          </w:rPr>
          <w:fldChar w:fldCharType="begin"/>
        </w:r>
        <w:r w:rsidR="0042315A">
          <w:rPr>
            <w:noProof/>
            <w:webHidden/>
          </w:rPr>
          <w:instrText xml:space="preserve"> PAGEREF _Toc13488216 \h </w:instrText>
        </w:r>
        <w:r w:rsidR="0042315A">
          <w:rPr>
            <w:noProof/>
            <w:webHidden/>
          </w:rPr>
        </w:r>
        <w:r w:rsidR="0042315A">
          <w:rPr>
            <w:noProof/>
            <w:webHidden/>
          </w:rPr>
          <w:fldChar w:fldCharType="separate"/>
        </w:r>
        <w:r w:rsidR="0042315A">
          <w:rPr>
            <w:noProof/>
            <w:webHidden/>
          </w:rPr>
          <w:t>9</w:t>
        </w:r>
        <w:r w:rsidR="0042315A">
          <w:rPr>
            <w:noProof/>
            <w:webHidden/>
          </w:rPr>
          <w:fldChar w:fldCharType="end"/>
        </w:r>
      </w:hyperlink>
    </w:p>
    <w:p w:rsidR="0042315A" w:rsidRDefault="00DF4212">
      <w:pPr>
        <w:pStyle w:val="TOC1"/>
        <w:rPr>
          <w:rFonts w:asciiTheme="minorHAnsi" w:eastAsiaTheme="minorEastAsia" w:hAnsiTheme="minorHAnsi"/>
          <w:noProof/>
          <w:sz w:val="22"/>
          <w:szCs w:val="22"/>
          <w:lang w:eastAsia="en-IE"/>
        </w:rPr>
      </w:pPr>
      <w:hyperlink w:anchor="_Toc13488217" w:history="1">
        <w:r w:rsidR="0042315A" w:rsidRPr="00D160D5">
          <w:rPr>
            <w:rStyle w:val="Hyperlink"/>
            <w:noProof/>
          </w:rPr>
          <w:t>12</w:t>
        </w:r>
        <w:r w:rsidR="0042315A">
          <w:rPr>
            <w:rFonts w:asciiTheme="minorHAnsi" w:eastAsiaTheme="minorEastAsia" w:hAnsiTheme="minorHAnsi"/>
            <w:noProof/>
            <w:sz w:val="22"/>
            <w:szCs w:val="22"/>
            <w:lang w:eastAsia="en-IE"/>
          </w:rPr>
          <w:tab/>
        </w:r>
        <w:r w:rsidR="0042315A" w:rsidRPr="00D160D5">
          <w:rPr>
            <w:rStyle w:val="Hyperlink"/>
            <w:noProof/>
          </w:rPr>
          <w:t>Dividend policy</w:t>
        </w:r>
        <w:r w:rsidR="0042315A">
          <w:rPr>
            <w:noProof/>
            <w:webHidden/>
          </w:rPr>
          <w:tab/>
        </w:r>
        <w:r w:rsidR="0042315A">
          <w:rPr>
            <w:noProof/>
            <w:webHidden/>
          </w:rPr>
          <w:fldChar w:fldCharType="begin"/>
        </w:r>
        <w:r w:rsidR="0042315A">
          <w:rPr>
            <w:noProof/>
            <w:webHidden/>
          </w:rPr>
          <w:instrText xml:space="preserve"> PAGEREF _Toc13488217 \h </w:instrText>
        </w:r>
        <w:r w:rsidR="0042315A">
          <w:rPr>
            <w:noProof/>
            <w:webHidden/>
          </w:rPr>
        </w:r>
        <w:r w:rsidR="0042315A">
          <w:rPr>
            <w:noProof/>
            <w:webHidden/>
          </w:rPr>
          <w:fldChar w:fldCharType="separate"/>
        </w:r>
        <w:r w:rsidR="0042315A">
          <w:rPr>
            <w:noProof/>
            <w:webHidden/>
          </w:rPr>
          <w:t>10</w:t>
        </w:r>
        <w:r w:rsidR="0042315A">
          <w:rPr>
            <w:noProof/>
            <w:webHidden/>
          </w:rPr>
          <w:fldChar w:fldCharType="end"/>
        </w:r>
      </w:hyperlink>
    </w:p>
    <w:p w:rsidR="0042315A" w:rsidRDefault="00DF4212">
      <w:pPr>
        <w:pStyle w:val="TOC1"/>
        <w:rPr>
          <w:rFonts w:asciiTheme="minorHAnsi" w:eastAsiaTheme="minorEastAsia" w:hAnsiTheme="minorHAnsi"/>
          <w:noProof/>
          <w:sz w:val="22"/>
          <w:szCs w:val="22"/>
          <w:lang w:eastAsia="en-IE"/>
        </w:rPr>
      </w:pPr>
      <w:hyperlink w:anchor="_Toc13488218" w:history="1">
        <w:r w:rsidR="0042315A" w:rsidRPr="00D160D5">
          <w:rPr>
            <w:rStyle w:val="Hyperlink"/>
            <w:noProof/>
          </w:rPr>
          <w:t>13</w:t>
        </w:r>
        <w:r w:rsidR="0042315A">
          <w:rPr>
            <w:rFonts w:asciiTheme="minorHAnsi" w:eastAsiaTheme="minorEastAsia" w:hAnsiTheme="minorHAnsi"/>
            <w:noProof/>
            <w:sz w:val="22"/>
            <w:szCs w:val="22"/>
            <w:lang w:eastAsia="en-IE"/>
          </w:rPr>
          <w:tab/>
        </w:r>
        <w:r w:rsidR="0042315A" w:rsidRPr="00D160D5">
          <w:rPr>
            <w:rStyle w:val="Hyperlink"/>
            <w:noProof/>
          </w:rPr>
          <w:t>Income equalisation</w:t>
        </w:r>
        <w:r w:rsidR="0042315A">
          <w:rPr>
            <w:noProof/>
            <w:webHidden/>
          </w:rPr>
          <w:tab/>
        </w:r>
        <w:r w:rsidR="0042315A">
          <w:rPr>
            <w:noProof/>
            <w:webHidden/>
          </w:rPr>
          <w:fldChar w:fldCharType="begin"/>
        </w:r>
        <w:r w:rsidR="0042315A">
          <w:rPr>
            <w:noProof/>
            <w:webHidden/>
          </w:rPr>
          <w:instrText xml:space="preserve"> PAGEREF _Toc13488218 \h </w:instrText>
        </w:r>
        <w:r w:rsidR="0042315A">
          <w:rPr>
            <w:noProof/>
            <w:webHidden/>
          </w:rPr>
        </w:r>
        <w:r w:rsidR="0042315A">
          <w:rPr>
            <w:noProof/>
            <w:webHidden/>
          </w:rPr>
          <w:fldChar w:fldCharType="separate"/>
        </w:r>
        <w:r w:rsidR="0042315A">
          <w:rPr>
            <w:noProof/>
            <w:webHidden/>
          </w:rPr>
          <w:t>10</w:t>
        </w:r>
        <w:r w:rsidR="0042315A">
          <w:rPr>
            <w:noProof/>
            <w:webHidden/>
          </w:rPr>
          <w:fldChar w:fldCharType="end"/>
        </w:r>
      </w:hyperlink>
    </w:p>
    <w:p w:rsidR="0042315A" w:rsidRDefault="00DF4212">
      <w:pPr>
        <w:pStyle w:val="TOC1"/>
        <w:rPr>
          <w:rFonts w:asciiTheme="minorHAnsi" w:eastAsiaTheme="minorEastAsia" w:hAnsiTheme="minorHAnsi"/>
          <w:noProof/>
          <w:sz w:val="22"/>
          <w:szCs w:val="22"/>
          <w:lang w:eastAsia="en-IE"/>
        </w:rPr>
      </w:pPr>
      <w:hyperlink w:anchor="_Toc13488219" w:history="1">
        <w:r w:rsidR="0042315A" w:rsidRPr="00D160D5">
          <w:rPr>
            <w:rStyle w:val="Hyperlink"/>
            <w:noProof/>
          </w:rPr>
          <w:t>14</w:t>
        </w:r>
        <w:r w:rsidR="0042315A">
          <w:rPr>
            <w:rFonts w:asciiTheme="minorHAnsi" w:eastAsiaTheme="minorEastAsia" w:hAnsiTheme="minorHAnsi"/>
            <w:noProof/>
            <w:sz w:val="22"/>
            <w:szCs w:val="22"/>
            <w:lang w:eastAsia="en-IE"/>
          </w:rPr>
          <w:tab/>
        </w:r>
        <w:r w:rsidR="0042315A" w:rsidRPr="00D160D5">
          <w:rPr>
            <w:rStyle w:val="Hyperlink"/>
            <w:noProof/>
          </w:rPr>
          <w:t>Fees and expenses</w:t>
        </w:r>
        <w:r w:rsidR="0042315A">
          <w:rPr>
            <w:noProof/>
            <w:webHidden/>
          </w:rPr>
          <w:tab/>
        </w:r>
        <w:r w:rsidR="0042315A">
          <w:rPr>
            <w:noProof/>
            <w:webHidden/>
          </w:rPr>
          <w:fldChar w:fldCharType="begin"/>
        </w:r>
        <w:r w:rsidR="0042315A">
          <w:rPr>
            <w:noProof/>
            <w:webHidden/>
          </w:rPr>
          <w:instrText xml:space="preserve"> PAGEREF _Toc13488219 \h </w:instrText>
        </w:r>
        <w:r w:rsidR="0042315A">
          <w:rPr>
            <w:noProof/>
            <w:webHidden/>
          </w:rPr>
        </w:r>
        <w:r w:rsidR="0042315A">
          <w:rPr>
            <w:noProof/>
            <w:webHidden/>
          </w:rPr>
          <w:fldChar w:fldCharType="separate"/>
        </w:r>
        <w:r w:rsidR="0042315A">
          <w:rPr>
            <w:noProof/>
            <w:webHidden/>
          </w:rPr>
          <w:t>10</w:t>
        </w:r>
        <w:r w:rsidR="0042315A">
          <w:rPr>
            <w:noProof/>
            <w:webHidden/>
          </w:rPr>
          <w:fldChar w:fldCharType="end"/>
        </w:r>
      </w:hyperlink>
    </w:p>
    <w:p w:rsidR="0042315A" w:rsidRDefault="00DF4212">
      <w:pPr>
        <w:pStyle w:val="TOC1"/>
        <w:rPr>
          <w:rFonts w:asciiTheme="minorHAnsi" w:eastAsiaTheme="minorEastAsia" w:hAnsiTheme="minorHAnsi"/>
          <w:noProof/>
          <w:sz w:val="22"/>
          <w:szCs w:val="22"/>
          <w:lang w:eastAsia="en-IE"/>
        </w:rPr>
      </w:pPr>
      <w:hyperlink w:anchor="_Toc13488220" w:history="1">
        <w:r w:rsidR="0042315A" w:rsidRPr="00D160D5">
          <w:rPr>
            <w:rStyle w:val="Hyperlink"/>
            <w:noProof/>
          </w:rPr>
          <w:t>15</w:t>
        </w:r>
        <w:r w:rsidR="0042315A">
          <w:rPr>
            <w:rFonts w:asciiTheme="minorHAnsi" w:eastAsiaTheme="minorEastAsia" w:hAnsiTheme="minorHAnsi"/>
            <w:noProof/>
            <w:sz w:val="22"/>
            <w:szCs w:val="22"/>
            <w:lang w:eastAsia="en-IE"/>
          </w:rPr>
          <w:tab/>
        </w:r>
        <w:r w:rsidR="0042315A" w:rsidRPr="00D160D5">
          <w:rPr>
            <w:rStyle w:val="Hyperlink"/>
            <w:noProof/>
          </w:rPr>
          <w:t>Marketing</w:t>
        </w:r>
        <w:r w:rsidR="0042315A">
          <w:rPr>
            <w:noProof/>
            <w:webHidden/>
          </w:rPr>
          <w:tab/>
        </w:r>
        <w:r w:rsidR="0042315A">
          <w:rPr>
            <w:noProof/>
            <w:webHidden/>
          </w:rPr>
          <w:fldChar w:fldCharType="begin"/>
        </w:r>
        <w:r w:rsidR="0042315A">
          <w:rPr>
            <w:noProof/>
            <w:webHidden/>
          </w:rPr>
          <w:instrText xml:space="preserve"> PAGEREF _Toc13488220 \h </w:instrText>
        </w:r>
        <w:r w:rsidR="0042315A">
          <w:rPr>
            <w:noProof/>
            <w:webHidden/>
          </w:rPr>
        </w:r>
        <w:r w:rsidR="0042315A">
          <w:rPr>
            <w:noProof/>
            <w:webHidden/>
          </w:rPr>
          <w:fldChar w:fldCharType="separate"/>
        </w:r>
        <w:r w:rsidR="0042315A">
          <w:rPr>
            <w:noProof/>
            <w:webHidden/>
          </w:rPr>
          <w:t>12</w:t>
        </w:r>
        <w:r w:rsidR="0042315A">
          <w:rPr>
            <w:noProof/>
            <w:webHidden/>
          </w:rPr>
          <w:fldChar w:fldCharType="end"/>
        </w:r>
      </w:hyperlink>
    </w:p>
    <w:p w:rsidR="0042315A" w:rsidRDefault="00DF4212">
      <w:pPr>
        <w:pStyle w:val="TOC1"/>
        <w:rPr>
          <w:rFonts w:asciiTheme="minorHAnsi" w:eastAsiaTheme="minorEastAsia" w:hAnsiTheme="minorHAnsi"/>
          <w:noProof/>
          <w:sz w:val="22"/>
          <w:szCs w:val="22"/>
          <w:lang w:eastAsia="en-IE"/>
        </w:rPr>
      </w:pPr>
      <w:hyperlink w:anchor="_Toc13488221" w:history="1">
        <w:r w:rsidR="0042315A" w:rsidRPr="00D160D5">
          <w:rPr>
            <w:rStyle w:val="Hyperlink"/>
            <w:noProof/>
          </w:rPr>
          <w:t>16</w:t>
        </w:r>
        <w:r w:rsidR="0042315A">
          <w:rPr>
            <w:rFonts w:asciiTheme="minorHAnsi" w:eastAsiaTheme="minorEastAsia" w:hAnsiTheme="minorHAnsi"/>
            <w:noProof/>
            <w:sz w:val="22"/>
            <w:szCs w:val="22"/>
            <w:lang w:eastAsia="en-IE"/>
          </w:rPr>
          <w:tab/>
        </w:r>
        <w:r w:rsidR="0042315A" w:rsidRPr="00D160D5">
          <w:rPr>
            <w:rStyle w:val="Hyperlink"/>
            <w:noProof/>
          </w:rPr>
          <w:t>Net Asset Value</w:t>
        </w:r>
        <w:r w:rsidR="0042315A">
          <w:rPr>
            <w:noProof/>
            <w:webHidden/>
          </w:rPr>
          <w:tab/>
        </w:r>
        <w:r w:rsidR="0042315A">
          <w:rPr>
            <w:noProof/>
            <w:webHidden/>
          </w:rPr>
          <w:fldChar w:fldCharType="begin"/>
        </w:r>
        <w:r w:rsidR="0042315A">
          <w:rPr>
            <w:noProof/>
            <w:webHidden/>
          </w:rPr>
          <w:instrText xml:space="preserve"> PAGEREF _Toc13488221 \h </w:instrText>
        </w:r>
        <w:r w:rsidR="0042315A">
          <w:rPr>
            <w:noProof/>
            <w:webHidden/>
          </w:rPr>
        </w:r>
        <w:r w:rsidR="0042315A">
          <w:rPr>
            <w:noProof/>
            <w:webHidden/>
          </w:rPr>
          <w:fldChar w:fldCharType="separate"/>
        </w:r>
        <w:r w:rsidR="0042315A">
          <w:rPr>
            <w:noProof/>
            <w:webHidden/>
          </w:rPr>
          <w:t>12</w:t>
        </w:r>
        <w:r w:rsidR="0042315A">
          <w:rPr>
            <w:noProof/>
            <w:webHidden/>
          </w:rPr>
          <w:fldChar w:fldCharType="end"/>
        </w:r>
      </w:hyperlink>
    </w:p>
    <w:p w:rsidR="0042315A" w:rsidRDefault="00DF4212">
      <w:pPr>
        <w:pStyle w:val="TOC1"/>
        <w:rPr>
          <w:rFonts w:asciiTheme="minorHAnsi" w:eastAsiaTheme="minorEastAsia" w:hAnsiTheme="minorHAnsi"/>
          <w:noProof/>
          <w:sz w:val="22"/>
          <w:szCs w:val="22"/>
          <w:lang w:eastAsia="en-IE"/>
        </w:rPr>
      </w:pPr>
      <w:hyperlink w:anchor="_Toc13488222" w:history="1">
        <w:r w:rsidR="0042315A" w:rsidRPr="00D160D5">
          <w:rPr>
            <w:rStyle w:val="Hyperlink"/>
            <w:noProof/>
          </w:rPr>
          <w:t>17</w:t>
        </w:r>
        <w:r w:rsidR="0042315A">
          <w:rPr>
            <w:rFonts w:asciiTheme="minorHAnsi" w:eastAsiaTheme="minorEastAsia" w:hAnsiTheme="minorHAnsi"/>
            <w:noProof/>
            <w:sz w:val="22"/>
            <w:szCs w:val="22"/>
            <w:lang w:eastAsia="en-IE"/>
          </w:rPr>
          <w:tab/>
        </w:r>
        <w:r w:rsidR="0042315A" w:rsidRPr="00D160D5">
          <w:rPr>
            <w:rStyle w:val="Hyperlink"/>
            <w:noProof/>
          </w:rPr>
          <w:t>Material Contracts</w:t>
        </w:r>
        <w:r w:rsidR="0042315A">
          <w:rPr>
            <w:noProof/>
            <w:webHidden/>
          </w:rPr>
          <w:tab/>
        </w:r>
        <w:r w:rsidR="0042315A">
          <w:rPr>
            <w:noProof/>
            <w:webHidden/>
          </w:rPr>
          <w:fldChar w:fldCharType="begin"/>
        </w:r>
        <w:r w:rsidR="0042315A">
          <w:rPr>
            <w:noProof/>
            <w:webHidden/>
          </w:rPr>
          <w:instrText xml:space="preserve"> PAGEREF _Toc13488222 \h </w:instrText>
        </w:r>
        <w:r w:rsidR="0042315A">
          <w:rPr>
            <w:noProof/>
            <w:webHidden/>
          </w:rPr>
        </w:r>
        <w:r w:rsidR="0042315A">
          <w:rPr>
            <w:noProof/>
            <w:webHidden/>
          </w:rPr>
          <w:fldChar w:fldCharType="separate"/>
        </w:r>
        <w:r w:rsidR="0042315A">
          <w:rPr>
            <w:noProof/>
            <w:webHidden/>
          </w:rPr>
          <w:t>12</w:t>
        </w:r>
        <w:r w:rsidR="0042315A">
          <w:rPr>
            <w:noProof/>
            <w:webHidden/>
          </w:rPr>
          <w:fldChar w:fldCharType="end"/>
        </w:r>
      </w:hyperlink>
    </w:p>
    <w:p w:rsidR="0042315A" w:rsidRDefault="00DF4212">
      <w:pPr>
        <w:pStyle w:val="TOC1"/>
        <w:rPr>
          <w:rFonts w:asciiTheme="minorHAnsi" w:eastAsiaTheme="minorEastAsia" w:hAnsiTheme="minorHAnsi"/>
          <w:noProof/>
          <w:sz w:val="22"/>
          <w:szCs w:val="22"/>
          <w:lang w:eastAsia="en-IE"/>
        </w:rPr>
      </w:pPr>
      <w:hyperlink w:anchor="_Toc13488223" w:history="1">
        <w:r w:rsidR="0042315A" w:rsidRPr="00D160D5">
          <w:rPr>
            <w:rStyle w:val="Hyperlink"/>
            <w:rFonts w:ascii="Arial Bold" w:hAnsi="Arial Bold"/>
            <w:noProof/>
          </w:rPr>
          <w:t>Appendix 1</w:t>
        </w:r>
        <w:r w:rsidR="0042315A" w:rsidRPr="00D160D5">
          <w:rPr>
            <w:rStyle w:val="Hyperlink"/>
            <w:noProof/>
          </w:rPr>
          <w:t xml:space="preserve"> Sector limits</w:t>
        </w:r>
        <w:r w:rsidR="0042315A">
          <w:rPr>
            <w:noProof/>
            <w:webHidden/>
          </w:rPr>
          <w:tab/>
        </w:r>
        <w:r w:rsidR="0042315A">
          <w:rPr>
            <w:noProof/>
            <w:webHidden/>
          </w:rPr>
          <w:fldChar w:fldCharType="begin"/>
        </w:r>
        <w:r w:rsidR="0042315A">
          <w:rPr>
            <w:noProof/>
            <w:webHidden/>
          </w:rPr>
          <w:instrText xml:space="preserve"> PAGEREF _Toc13488223 \h </w:instrText>
        </w:r>
        <w:r w:rsidR="0042315A">
          <w:rPr>
            <w:noProof/>
            <w:webHidden/>
          </w:rPr>
        </w:r>
        <w:r w:rsidR="0042315A">
          <w:rPr>
            <w:noProof/>
            <w:webHidden/>
          </w:rPr>
          <w:fldChar w:fldCharType="separate"/>
        </w:r>
        <w:r w:rsidR="0042315A">
          <w:rPr>
            <w:noProof/>
            <w:webHidden/>
          </w:rPr>
          <w:t>13</w:t>
        </w:r>
        <w:r w:rsidR="0042315A">
          <w:rPr>
            <w:noProof/>
            <w:webHidden/>
          </w:rPr>
          <w:fldChar w:fldCharType="end"/>
        </w:r>
      </w:hyperlink>
    </w:p>
    <w:p w:rsidR="00F62139" w:rsidRDefault="00F62139" w:rsidP="00F62139">
      <w:r w:rsidRPr="00DC6729">
        <w:fldChar w:fldCharType="end"/>
      </w:r>
    </w:p>
    <w:p w:rsidR="00F62139" w:rsidRDefault="00F62139" w:rsidP="00F62139">
      <w:r>
        <w:br w:type="page"/>
      </w:r>
    </w:p>
    <w:p w:rsidR="00F62139" w:rsidRDefault="00F62139" w:rsidP="00F62139">
      <w:pPr>
        <w:pStyle w:val="ALGHd1"/>
      </w:pPr>
      <w:bookmarkStart w:id="0" w:name="_Toc13488206"/>
      <w:bookmarkStart w:id="1" w:name="_Ref510014442"/>
      <w:r>
        <w:lastRenderedPageBreak/>
        <w:t>Definitions</w:t>
      </w:r>
      <w:bookmarkEnd w:id="0"/>
    </w:p>
    <w:p w:rsidR="00F62139" w:rsidRPr="007F3C3E" w:rsidRDefault="00F62139" w:rsidP="00F62139">
      <w:pPr>
        <w:pStyle w:val="ALGNo2"/>
      </w:pPr>
      <w:r w:rsidRPr="001815C0">
        <w:t>In this Supplement, unless the context otherwise requires, the following words and phrases shall have the meanings indicated below.</w:t>
      </w:r>
      <w:r>
        <w:t xml:space="preserve"> </w:t>
      </w:r>
      <w:r w:rsidRPr="001815C0">
        <w:t>Other capitalised words and phrases not set out below can be found in the Prospectus</w:t>
      </w:r>
      <w:r>
        <w:t>. W</w:t>
      </w:r>
      <w:r w:rsidRPr="001815C0">
        <w:t>ords and phrases defined in the Prospectus shall, unless the context otherwise requires, have the same meaning when used in this Supplement.</w:t>
      </w:r>
    </w:p>
    <w:p w:rsidR="00F62139" w:rsidRDefault="00F62139" w:rsidP="00F62139">
      <w:pPr>
        <w:pStyle w:val="Body1ALG"/>
      </w:pPr>
      <w:r>
        <w:rPr>
          <w:b/>
        </w:rPr>
        <w:t xml:space="preserve">Class A </w:t>
      </w:r>
      <w:r w:rsidRPr="00657564">
        <w:t>means Class A Inc Sterling Shares and Class A Acc Sterling Shares.</w:t>
      </w:r>
    </w:p>
    <w:p w:rsidR="00F62139" w:rsidRPr="00DC6729" w:rsidRDefault="00F62139" w:rsidP="00F62139">
      <w:pPr>
        <w:pStyle w:val="Body1ALG"/>
      </w:pPr>
      <w:r w:rsidRPr="00657564">
        <w:rPr>
          <w:b/>
        </w:rPr>
        <w:t>Class B</w:t>
      </w:r>
      <w:r w:rsidRPr="00657564">
        <w:t xml:space="preserve"> </w:t>
      </w:r>
      <w:r>
        <w:t xml:space="preserve">means </w:t>
      </w:r>
      <w:r w:rsidRPr="00DC6729">
        <w:t>Class B Inc Sterling Shares</w:t>
      </w:r>
      <w:r>
        <w:t xml:space="preserve"> and </w:t>
      </w:r>
      <w:r w:rsidRPr="00DC6729">
        <w:t>Class B Acc Sterling Shares</w:t>
      </w:r>
      <w:r>
        <w:t>.</w:t>
      </w:r>
    </w:p>
    <w:p w:rsidR="00F62139" w:rsidRPr="00657564" w:rsidRDefault="00F62139" w:rsidP="00F62139">
      <w:pPr>
        <w:pStyle w:val="Body1ALG"/>
      </w:pPr>
      <w:r w:rsidRPr="00A267D1">
        <w:rPr>
          <w:b/>
        </w:rPr>
        <w:t>Class C</w:t>
      </w:r>
      <w:r>
        <w:t xml:space="preserve"> means</w:t>
      </w:r>
      <w:r w:rsidRPr="00A267D1">
        <w:t xml:space="preserve"> </w:t>
      </w:r>
      <w:r w:rsidRPr="00657564">
        <w:t>Class C Acc Sterling Shares</w:t>
      </w:r>
      <w:r>
        <w:t>.</w:t>
      </w:r>
    </w:p>
    <w:p w:rsidR="0061570B" w:rsidRDefault="0061570B" w:rsidP="00F62139">
      <w:pPr>
        <w:pStyle w:val="Body2ALG"/>
        <w:rPr>
          <w:b/>
        </w:rPr>
      </w:pPr>
      <w:r>
        <w:rPr>
          <w:b/>
        </w:rPr>
        <w:t xml:space="preserve">ESG </w:t>
      </w:r>
      <w:r w:rsidRPr="0061570B">
        <w:t>means environmental, social and governance</w:t>
      </w:r>
      <w:r w:rsidRPr="0061570B">
        <w:rPr>
          <w:b/>
        </w:rPr>
        <w:t xml:space="preserve"> </w:t>
      </w:r>
    </w:p>
    <w:p w:rsidR="00F62139" w:rsidRDefault="00F62139" w:rsidP="00F62139">
      <w:pPr>
        <w:pStyle w:val="Body2ALG"/>
      </w:pPr>
      <w:r w:rsidRPr="00A2457C">
        <w:rPr>
          <w:b/>
        </w:rPr>
        <w:t xml:space="preserve">G7 </w:t>
      </w:r>
      <w:r w:rsidRPr="00A2457C">
        <w:t>means France, Germany, Italy, Japan, United Kingdom, United States and Canada.</w:t>
      </w:r>
    </w:p>
    <w:p w:rsidR="00F165BF" w:rsidRPr="00333099" w:rsidRDefault="00F165BF" w:rsidP="00333099">
      <w:pPr>
        <w:pStyle w:val="Body2ALG"/>
      </w:pPr>
      <w:r w:rsidRPr="00F165BF">
        <w:rPr>
          <w:b/>
          <w:lang w:val="en-GB"/>
        </w:rPr>
        <w:t xml:space="preserve">Index </w:t>
      </w:r>
      <w:r w:rsidRPr="00F165BF">
        <w:rPr>
          <w:lang w:val="en-GB"/>
        </w:rPr>
        <w:t xml:space="preserve">means </w:t>
      </w:r>
      <w:r w:rsidRPr="002E6C53">
        <w:rPr>
          <w:lang w:val="en-GB"/>
        </w:rPr>
        <w:t xml:space="preserve">the </w:t>
      </w:r>
      <w:r>
        <w:rPr>
          <w:lang w:val="en-GB"/>
        </w:rPr>
        <w:t xml:space="preserve">Bloomberg </w:t>
      </w:r>
      <w:r w:rsidRPr="002E6C53">
        <w:rPr>
          <w:lang w:val="en-GB"/>
        </w:rPr>
        <w:t>Barclays MSCI Sterling Liquid Corporate ESG Weighted Index</w:t>
      </w:r>
      <w:r w:rsidR="00333099">
        <w:rPr>
          <w:lang w:val="en-GB"/>
        </w:rPr>
        <w:t xml:space="preserve"> (</w:t>
      </w:r>
      <w:r w:rsidR="00333099">
        <w:t>I35362GB)</w:t>
      </w:r>
    </w:p>
    <w:p w:rsidR="00F62139" w:rsidRPr="00A2457C" w:rsidRDefault="00F62139" w:rsidP="00F62139">
      <w:pPr>
        <w:pStyle w:val="Body2ALG"/>
        <w:rPr>
          <w:b/>
        </w:rPr>
      </w:pPr>
      <w:r w:rsidRPr="00052570">
        <w:rPr>
          <w:b/>
        </w:rPr>
        <w:t xml:space="preserve">Income Shares </w:t>
      </w:r>
      <w:r>
        <w:t>means Class A Inc Sterling Shares and Class B Inc Sterling Shares.</w:t>
      </w:r>
    </w:p>
    <w:p w:rsidR="00F62139" w:rsidRDefault="00F62139" w:rsidP="00F62139">
      <w:pPr>
        <w:pStyle w:val="Body2ALG"/>
        <w:rPr>
          <w:b/>
        </w:rPr>
      </w:pPr>
      <w:r w:rsidRPr="00A2457C">
        <w:rPr>
          <w:b/>
        </w:rPr>
        <w:t xml:space="preserve">Investment Grade Asset / Issuer </w:t>
      </w:r>
      <w:r w:rsidRPr="00A2457C">
        <w:t>means an asset or issuer with a public credit rating of Baa3 or higher from Moody's and/or BBB- or higher from S&amp;P and/or BBB- or higher from Fitch or if no public credit rating is available, an internal credit rating by the Manager or Investment Manager equivalent to such public credit ratings or higher.</w:t>
      </w:r>
    </w:p>
    <w:p w:rsidR="00F62139" w:rsidRDefault="00F62139" w:rsidP="00F62139">
      <w:pPr>
        <w:pStyle w:val="Body2ALG"/>
      </w:pPr>
      <w:r>
        <w:rPr>
          <w:b/>
        </w:rPr>
        <w:t xml:space="preserve">Investment Manager </w:t>
      </w:r>
      <w:r w:rsidRPr="00053B5C">
        <w:t xml:space="preserve">means </w:t>
      </w:r>
      <w:r>
        <w:t xml:space="preserve">KW Investment </w:t>
      </w:r>
      <w:r w:rsidRPr="00053B5C">
        <w:t>Management Limited</w:t>
      </w:r>
      <w:r>
        <w:t>.</w:t>
      </w:r>
    </w:p>
    <w:p w:rsidR="00F62139" w:rsidRDefault="00F62139" w:rsidP="00F62139">
      <w:pPr>
        <w:pStyle w:val="Body2ALG"/>
      </w:pPr>
      <w:r w:rsidRPr="004D4E65">
        <w:rPr>
          <w:b/>
        </w:rPr>
        <w:t>Investment Management Agreement</w:t>
      </w:r>
      <w:r w:rsidRPr="004F21F7">
        <w:rPr>
          <w:b/>
        </w:rPr>
        <w:t xml:space="preserve"> </w:t>
      </w:r>
      <w:r>
        <w:t xml:space="preserve">means the agreement dated </w:t>
      </w:r>
      <w:r w:rsidRPr="00A33F1C">
        <w:t>24 January 2019</w:t>
      </w:r>
      <w:r>
        <w:rPr>
          <w:b/>
        </w:rPr>
        <w:t xml:space="preserve"> </w:t>
      </w:r>
      <w:r w:rsidRPr="004F21F7">
        <w:t xml:space="preserve">between the </w:t>
      </w:r>
      <w:r>
        <w:t xml:space="preserve">Manager, ICAV </w:t>
      </w:r>
      <w:r w:rsidRPr="004F21F7">
        <w:t xml:space="preserve">and </w:t>
      </w:r>
      <w:r>
        <w:t>the Investment Manager as may be amended, supplemented or novated from time to time.</w:t>
      </w:r>
    </w:p>
    <w:p w:rsidR="00F62139" w:rsidRDefault="00F62139" w:rsidP="00F62139">
      <w:pPr>
        <w:pStyle w:val="Body2ALG"/>
        <w:rPr>
          <w:b/>
        </w:rPr>
      </w:pPr>
      <w:r w:rsidRPr="00FA7FCF">
        <w:rPr>
          <w:b/>
        </w:rPr>
        <w:t>Modified Duration</w:t>
      </w:r>
      <w:r w:rsidRPr="00DC6729">
        <w:t xml:space="preserve"> </w:t>
      </w:r>
      <w:r>
        <w:t xml:space="preserve">means </w:t>
      </w:r>
      <w:r w:rsidRPr="00DC6729">
        <w:t>the percentage change in market value of a security's value occasioned per percentage point change, in the opposite direction, in that security's yield to maturity.</w:t>
      </w:r>
    </w:p>
    <w:p w:rsidR="00F62139" w:rsidRDefault="00F62139" w:rsidP="00F62139">
      <w:pPr>
        <w:pStyle w:val="Body2ALG"/>
      </w:pPr>
      <w:r w:rsidRPr="00657564">
        <w:rPr>
          <w:b/>
        </w:rPr>
        <w:t>Shares</w:t>
      </w:r>
      <w:r>
        <w:t xml:space="preserve"> </w:t>
      </w:r>
      <w:r w:rsidR="00915CF2">
        <w:t>means Class A, Class B, and Class C</w:t>
      </w:r>
      <w:r>
        <w:t>.</w:t>
      </w:r>
    </w:p>
    <w:p w:rsidR="00F62139" w:rsidRDefault="00F62139" w:rsidP="00F62139">
      <w:pPr>
        <w:pStyle w:val="ALGHd1"/>
      </w:pPr>
      <w:bookmarkStart w:id="2" w:name="_Toc13488207"/>
      <w:r>
        <w:t>Investment Manager</w:t>
      </w:r>
      <w:bookmarkEnd w:id="2"/>
    </w:p>
    <w:p w:rsidR="00F62139" w:rsidRPr="00DC6729" w:rsidRDefault="00F62139" w:rsidP="00F62139">
      <w:pPr>
        <w:pStyle w:val="Body1ALG"/>
      </w:pPr>
      <w:r>
        <w:t xml:space="preserve">The </w:t>
      </w:r>
      <w:r w:rsidRPr="00EC3F17">
        <w:t>Investment Manager</w:t>
      </w:r>
      <w:r w:rsidRPr="00DC6729">
        <w:t xml:space="preserve"> is established under the laws of England and Wales since 2009 as a private limited company with its registered address at</w:t>
      </w:r>
      <w:r>
        <w:t xml:space="preserve"> 13 Austin Friars</w:t>
      </w:r>
      <w:r w:rsidRPr="00DC6729">
        <w:t>,</w:t>
      </w:r>
      <w:r>
        <w:t xml:space="preserve"> London, </w:t>
      </w:r>
      <w:r w:rsidRPr="00DC6729">
        <w:t>United Kingdom</w:t>
      </w:r>
      <w:r>
        <w:t>, EC2N2HE</w:t>
      </w:r>
      <w:r w:rsidRPr="00DC6729">
        <w:t>.</w:t>
      </w:r>
      <w:r>
        <w:t xml:space="preserve"> </w:t>
      </w:r>
      <w:r w:rsidRPr="00DC6729">
        <w:t xml:space="preserve">The Investment Manager is part of </w:t>
      </w:r>
      <w:r>
        <w:t>the Kingswood Holdings Limited</w:t>
      </w:r>
      <w:r w:rsidRPr="00DC6729">
        <w:t>, an AIM-listed investment company focused on investing in financial services.</w:t>
      </w:r>
      <w:r>
        <w:t xml:space="preserve"> </w:t>
      </w:r>
      <w:r w:rsidRPr="00DC6729">
        <w:t>The Investment Manager is regulated by the UK's Financial Conduct Authority and has extensive experience in providing asset management services to institutions including universities</w:t>
      </w:r>
      <w:r>
        <w:t xml:space="preserve"> and </w:t>
      </w:r>
      <w:r w:rsidRPr="00DC6729">
        <w:t>building societies as well as private clients in the United Kingdom.</w:t>
      </w:r>
      <w:r>
        <w:t xml:space="preserve"> </w:t>
      </w:r>
    </w:p>
    <w:p w:rsidR="00F62139" w:rsidRPr="00FE2318" w:rsidRDefault="00F62139" w:rsidP="00F62139">
      <w:pPr>
        <w:pStyle w:val="ALGHd1"/>
      </w:pPr>
      <w:bookmarkStart w:id="3" w:name="_Ref510014443"/>
      <w:bookmarkStart w:id="4" w:name="_Toc13488208"/>
      <w:r w:rsidRPr="00FE2318">
        <w:t>Profile of a typical investor</w:t>
      </w:r>
      <w:bookmarkEnd w:id="3"/>
      <w:bookmarkEnd w:id="4"/>
    </w:p>
    <w:p w:rsidR="00B57DCD" w:rsidRDefault="00F62139" w:rsidP="00B57DCD">
      <w:pPr>
        <w:ind w:left="624"/>
      </w:pPr>
      <w:r w:rsidRPr="00DC6729">
        <w:t xml:space="preserve">The </w:t>
      </w:r>
      <w:r>
        <w:t>Fund</w:t>
      </w:r>
      <w:r w:rsidRPr="00DC6729">
        <w:t xml:space="preserve"> is suitable for investors seeking</w:t>
      </w:r>
      <w:r w:rsidR="00B57DCD">
        <w:t xml:space="preserve"> </w:t>
      </w:r>
      <w:r w:rsidR="00B57DCD" w:rsidRPr="00B57DCD">
        <w:t xml:space="preserve">income with some prospect of investment growth in the long term and whom are investing in companies that have </w:t>
      </w:r>
      <w:r w:rsidR="00547837" w:rsidRPr="007E4DDC">
        <w:t>stronger environmental, soci</w:t>
      </w:r>
      <w:r w:rsidR="00547837">
        <w:t>al and governance (ESG) scores</w:t>
      </w:r>
      <w:r w:rsidR="00B57DCD" w:rsidRPr="00B57DCD">
        <w:t>.</w:t>
      </w:r>
    </w:p>
    <w:p w:rsidR="00F62139" w:rsidRPr="00FE2318" w:rsidRDefault="00F62139" w:rsidP="00F62139">
      <w:pPr>
        <w:pStyle w:val="ALGHd1"/>
      </w:pPr>
      <w:bookmarkStart w:id="5" w:name="_Toc13488209"/>
      <w:r w:rsidRPr="00FE2318">
        <w:t>Investment objective</w:t>
      </w:r>
      <w:bookmarkEnd w:id="5"/>
      <w:r w:rsidRPr="00FE2318">
        <w:t xml:space="preserve"> </w:t>
      </w:r>
      <w:bookmarkEnd w:id="1"/>
    </w:p>
    <w:p w:rsidR="00F62139" w:rsidRDefault="00456A72" w:rsidP="00F62139">
      <w:pPr>
        <w:pStyle w:val="Body1ALG"/>
      </w:pPr>
      <w:r w:rsidRPr="00456A72">
        <w:t>The objective is to generate income and some capital appreciation from a portfolio of mainly ESG credible debt securities.</w:t>
      </w:r>
    </w:p>
    <w:p w:rsidR="0068690A" w:rsidRDefault="0068690A" w:rsidP="00F62139">
      <w:pPr>
        <w:pStyle w:val="Body1ALG"/>
      </w:pPr>
    </w:p>
    <w:p w:rsidR="00F62139" w:rsidRDefault="00F62139" w:rsidP="00F62139">
      <w:pPr>
        <w:pStyle w:val="ALGHd1"/>
      </w:pPr>
      <w:bookmarkStart w:id="6" w:name="_Toc13488210"/>
      <w:r w:rsidRPr="00FE2318">
        <w:t>Investment polic</w:t>
      </w:r>
      <w:r>
        <w:t>y</w:t>
      </w:r>
      <w:bookmarkEnd w:id="6"/>
    </w:p>
    <w:p w:rsidR="00547837" w:rsidRDefault="00547837" w:rsidP="00910FEB">
      <w:pPr>
        <w:pStyle w:val="ALGNo1"/>
        <w:numPr>
          <w:ilvl w:val="0"/>
          <w:numId w:val="0"/>
        </w:numPr>
        <w:ind w:left="624"/>
      </w:pPr>
      <w:r w:rsidRPr="007E4DDC">
        <w:t>The Fund seeks to obtain exposure to issuers with stronger environmental, soci</w:t>
      </w:r>
      <w:r>
        <w:t xml:space="preserve">al and governance (ESG) scores. Eligible securities of the Index include </w:t>
      </w:r>
      <w:r w:rsidRPr="00D33DC8">
        <w:t>investment grade, fixed-rate, taxable, sterling-denominated securit</w:t>
      </w:r>
      <w:r>
        <w:t xml:space="preserve">ies issued by corporate issuers which have an ESG overlay. Further description of the Index is set out below in the section entitled </w:t>
      </w:r>
      <w:r w:rsidRPr="008236D8">
        <w:rPr>
          <w:b/>
        </w:rPr>
        <w:t>The Index</w:t>
      </w:r>
      <w:r>
        <w:t>.</w:t>
      </w:r>
    </w:p>
    <w:p w:rsidR="002E6C53" w:rsidRPr="00123495" w:rsidRDefault="00F62139" w:rsidP="00123495">
      <w:pPr>
        <w:pStyle w:val="Body2ALG"/>
        <w:rPr>
          <w:lang w:val="en-GB"/>
        </w:rPr>
      </w:pPr>
      <w:r>
        <w:t>The Fund will seek to achieve its investment objective th</w:t>
      </w:r>
      <w:r w:rsidR="0047174F">
        <w:t>r</w:t>
      </w:r>
      <w:r w:rsidR="00394E59">
        <w:t xml:space="preserve">ough investment of at least </w:t>
      </w:r>
      <w:r w:rsidR="00B57DCD">
        <w:t>9</w:t>
      </w:r>
      <w:r w:rsidR="00394E59">
        <w:t>0% of its NAV</w:t>
      </w:r>
      <w:r w:rsidR="0081464F">
        <w:t xml:space="preserve"> (excluding cash or cash equivalents)</w:t>
      </w:r>
      <w:r>
        <w:t xml:space="preserve"> </w:t>
      </w:r>
      <w:r w:rsidR="002E6C53" w:rsidRPr="002E6C53">
        <w:rPr>
          <w:lang w:val="en-GB"/>
        </w:rPr>
        <w:t xml:space="preserve">into bonds that will be selected from the </w:t>
      </w:r>
      <w:r w:rsidR="00FE7F9A">
        <w:rPr>
          <w:lang w:val="en-GB"/>
        </w:rPr>
        <w:t xml:space="preserve">Bloomberg </w:t>
      </w:r>
      <w:r w:rsidR="002E6C53" w:rsidRPr="002E6C53">
        <w:rPr>
          <w:lang w:val="en-GB"/>
        </w:rPr>
        <w:t>Barclays MSCI Sterling Liquid Corporate ESG Weighted Index</w:t>
      </w:r>
      <w:r w:rsidR="00FE7F9A">
        <w:rPr>
          <w:lang w:val="en-GB"/>
        </w:rPr>
        <w:t xml:space="preserve"> (the </w:t>
      </w:r>
      <w:r w:rsidR="00FE7F9A" w:rsidRPr="00FE7F9A">
        <w:rPr>
          <w:b/>
          <w:lang w:val="en-GB"/>
        </w:rPr>
        <w:t>Index</w:t>
      </w:r>
      <w:r w:rsidR="00FE7F9A">
        <w:rPr>
          <w:lang w:val="en-GB"/>
        </w:rPr>
        <w:t>)</w:t>
      </w:r>
      <w:r w:rsidR="002E6C53">
        <w:rPr>
          <w:lang w:val="en-GB"/>
        </w:rPr>
        <w:t>.</w:t>
      </w:r>
      <w:r w:rsidR="003A5F2E">
        <w:rPr>
          <w:lang w:val="en-GB"/>
        </w:rPr>
        <w:t xml:space="preserve"> The Fund may invest a maximum of 10% of its NAV </w:t>
      </w:r>
      <w:r w:rsidR="00994647" w:rsidRPr="00994647">
        <w:t xml:space="preserve">(excluding cash or cash equivalents) </w:t>
      </w:r>
      <w:r w:rsidR="00623AC3">
        <w:rPr>
          <w:lang w:val="en-GB"/>
        </w:rPr>
        <w:t xml:space="preserve">into </w:t>
      </w:r>
      <w:r w:rsidR="003A5F2E">
        <w:rPr>
          <w:lang w:val="en-GB"/>
        </w:rPr>
        <w:t>bonds</w:t>
      </w:r>
      <w:r w:rsidR="00623AC3">
        <w:rPr>
          <w:lang w:val="en-GB"/>
        </w:rPr>
        <w:t xml:space="preserve"> that are </w:t>
      </w:r>
      <w:r w:rsidR="004369B1">
        <w:rPr>
          <w:lang w:val="en-GB"/>
        </w:rPr>
        <w:t>not selected from the I</w:t>
      </w:r>
      <w:r w:rsidR="00772C9C">
        <w:rPr>
          <w:lang w:val="en-GB"/>
        </w:rPr>
        <w:t>ndex and not subject to ESG scoring review</w:t>
      </w:r>
      <w:r w:rsidR="003A5F2E">
        <w:rPr>
          <w:lang w:val="en-GB"/>
        </w:rPr>
        <w:t>.</w:t>
      </w:r>
      <w:r w:rsidR="003F0C7E">
        <w:rPr>
          <w:lang w:val="en-GB"/>
        </w:rPr>
        <w:t xml:space="preserve"> </w:t>
      </w:r>
    </w:p>
    <w:p w:rsidR="00A01DDC" w:rsidRPr="00EF5A00" w:rsidRDefault="00EF5A00" w:rsidP="00F62139">
      <w:pPr>
        <w:pStyle w:val="Body2ALG"/>
        <w:rPr>
          <w:i/>
        </w:rPr>
      </w:pPr>
      <w:r w:rsidRPr="00EF5A00">
        <w:rPr>
          <w:i/>
        </w:rPr>
        <w:t>Types of Instruments</w:t>
      </w:r>
    </w:p>
    <w:p w:rsidR="00F62139" w:rsidRDefault="00F62139" w:rsidP="00C14A9C">
      <w:pPr>
        <w:pStyle w:val="Body2ALG"/>
        <w:rPr>
          <w:b/>
        </w:rPr>
      </w:pPr>
      <w:r>
        <w:t xml:space="preserve">Those </w:t>
      </w:r>
      <w:r w:rsidR="00C14A9C">
        <w:t xml:space="preserve">bonds </w:t>
      </w:r>
      <w:r>
        <w:t>will be I</w:t>
      </w:r>
      <w:r w:rsidRPr="00DC6729">
        <w:t xml:space="preserve">nvestment </w:t>
      </w:r>
      <w:r>
        <w:t>Grade Assets</w:t>
      </w:r>
      <w:r w:rsidR="009953C8">
        <w:t xml:space="preserve"> (save that only up to </w:t>
      </w:r>
      <w:r w:rsidR="00994647" w:rsidRPr="00994647">
        <w:t xml:space="preserve">10% of </w:t>
      </w:r>
      <w:r w:rsidR="009953C8">
        <w:t xml:space="preserve">the Fund's </w:t>
      </w:r>
      <w:r w:rsidR="00994647" w:rsidRPr="00994647">
        <w:t xml:space="preserve">Net Asset Value </w:t>
      </w:r>
      <w:r w:rsidR="009953C8">
        <w:t xml:space="preserve">may be invested </w:t>
      </w:r>
      <w:r w:rsidR="00994647" w:rsidRPr="00994647">
        <w:t>in deb</w:t>
      </w:r>
      <w:r w:rsidR="009953C8">
        <w:t>t securities which are unrated by a rating agency)</w:t>
      </w:r>
      <w:r w:rsidR="00994647">
        <w:t>,</w:t>
      </w:r>
      <w:r>
        <w:t xml:space="preserve"> </w:t>
      </w:r>
      <w:r w:rsidR="00C14A9C">
        <w:t xml:space="preserve">and shall include fixed and floating rate </w:t>
      </w:r>
      <w:r w:rsidR="00A10D22">
        <w:t xml:space="preserve">corporate </w:t>
      </w:r>
      <w:r w:rsidR="00C14A9C">
        <w:t xml:space="preserve">bonds, government bills and bonds </w:t>
      </w:r>
      <w:r>
        <w:t xml:space="preserve">issued by OECD </w:t>
      </w:r>
      <w:r w:rsidRPr="00DC6729">
        <w:t>government</w:t>
      </w:r>
      <w:r>
        <w:t>s</w:t>
      </w:r>
      <w:r w:rsidRPr="00DC6729">
        <w:t xml:space="preserve">, </w:t>
      </w:r>
      <w:r>
        <w:t xml:space="preserve">OECD </w:t>
      </w:r>
      <w:r w:rsidRPr="00DC6729">
        <w:t>quasi-government</w:t>
      </w:r>
      <w:r>
        <w:t>s</w:t>
      </w:r>
      <w:r w:rsidRPr="00DC6729">
        <w:t xml:space="preserve"> (</w:t>
      </w:r>
      <w:r>
        <w:t xml:space="preserve">which means they may be issued by </w:t>
      </w:r>
      <w:r w:rsidRPr="00DC6729">
        <w:t>supranational</w:t>
      </w:r>
      <w:r>
        <w:t xml:space="preserve"> or</w:t>
      </w:r>
      <w:r w:rsidRPr="00DC6729">
        <w:t xml:space="preserve"> government agency and</w:t>
      </w:r>
      <w:r>
        <w:t>/or</w:t>
      </w:r>
      <w:r w:rsidRPr="00DC6729">
        <w:t xml:space="preserve"> </w:t>
      </w:r>
      <w:r>
        <w:t xml:space="preserve">be </w:t>
      </w:r>
      <w:r w:rsidRPr="00DC6729">
        <w:t xml:space="preserve">government guaranteed), </w:t>
      </w:r>
      <w:r>
        <w:t>and corporate entities</w:t>
      </w:r>
      <w:r w:rsidRPr="00DC6729">
        <w:t xml:space="preserve"> across an unlimited range of maturities subject to aggregate fund-level duration constraints set out below.</w:t>
      </w:r>
      <w:r>
        <w:t xml:space="preserve"> </w:t>
      </w:r>
    </w:p>
    <w:p w:rsidR="000C5949" w:rsidRDefault="000C5949" w:rsidP="000C5949">
      <w:pPr>
        <w:pStyle w:val="Body1ALG"/>
      </w:pPr>
      <w:r>
        <w:t>The debt securities the Fund will invest in are bonds, notes and bills. A bond is a debt investment in which an investor loans money to an entity that borrows the money for a defined period of time at an interest rate. A note is a debt investment similar to a bond in that it is sold at, above or below face (par) value, makes regular interest payments and has a specified term until maturity. The duration of a note can vary significantly but it generally has a shorter term than a bond. A bill is a debt investment like a bond or note which generally has a shorter term than a bond or a note.</w:t>
      </w:r>
    </w:p>
    <w:p w:rsidR="00F62139" w:rsidRPr="00DC6729" w:rsidRDefault="00F62139" w:rsidP="006F1D5E">
      <w:pPr>
        <w:pStyle w:val="Body1ALG"/>
      </w:pPr>
      <w:r w:rsidRPr="00DC6729">
        <w:t xml:space="preserve">The </w:t>
      </w:r>
      <w:r>
        <w:t>Fund</w:t>
      </w:r>
      <w:r w:rsidRPr="00DC6729">
        <w:t xml:space="preserve"> </w:t>
      </w:r>
      <w:r>
        <w:t xml:space="preserve">may hold a </w:t>
      </w:r>
      <w:r w:rsidRPr="00DC6729">
        <w:t xml:space="preserve">limited number of </w:t>
      </w:r>
      <w:r w:rsidR="00BD4C23">
        <w:t xml:space="preserve">bonds </w:t>
      </w:r>
      <w:r>
        <w:t xml:space="preserve">as described in this Investment Policy </w:t>
      </w:r>
      <w:r w:rsidRPr="00DC6729">
        <w:t>which may be concentrated in a few countries, industries, sectors of the economy or issuers.</w:t>
      </w:r>
      <w:r w:rsidR="0082534C" w:rsidRPr="0082534C">
        <w:t xml:space="preserve"> </w:t>
      </w:r>
      <w:r w:rsidR="00CC05E3" w:rsidRPr="00CC05E3">
        <w:t xml:space="preserve">The bonds within the Index will be predominantly issued by companies based in UK, the EU and US. Given that the Fund will chose investments based on the constituents of the index it is expected that the Fund will </w:t>
      </w:r>
      <w:r w:rsidR="006F1D5E" w:rsidRPr="00CC05E3">
        <w:t>predominantly</w:t>
      </w:r>
      <w:r w:rsidR="00CC05E3" w:rsidRPr="00CC05E3">
        <w:t xml:space="preserve"> invest in bonds issued by companies based in those jurisdictions.</w:t>
      </w:r>
      <w:r w:rsidR="006F1D5E">
        <w:t xml:space="preserve"> </w:t>
      </w:r>
      <w:r>
        <w:fldChar w:fldCharType="begin"/>
      </w:r>
      <w:r>
        <w:instrText xml:space="preserve"> REF _Ref510014092 \r \h </w:instrText>
      </w:r>
      <w:r>
        <w:fldChar w:fldCharType="separate"/>
      </w:r>
      <w:r>
        <w:t>Appendix 1</w:t>
      </w:r>
      <w:r>
        <w:fldChar w:fldCharType="end"/>
      </w:r>
      <w:r>
        <w:t xml:space="preserve"> </w:t>
      </w:r>
      <w:r w:rsidR="00004587">
        <w:t xml:space="preserve">to this Supplement </w:t>
      </w:r>
      <w:r>
        <w:t xml:space="preserve">sets out </w:t>
      </w:r>
      <w:r w:rsidRPr="00DC6729">
        <w:t>sector concentration limits</w:t>
      </w:r>
      <w:r>
        <w:t xml:space="preserve"> for </w:t>
      </w:r>
      <w:r w:rsidRPr="00DC6729">
        <w:t>non-government guaranteed corporate</w:t>
      </w:r>
      <w:r w:rsidR="00F46FA8">
        <w:t xml:space="preserve"> bonds</w:t>
      </w:r>
      <w:r w:rsidRPr="00DC6729">
        <w:t>.</w:t>
      </w:r>
    </w:p>
    <w:p w:rsidR="00F62139" w:rsidRDefault="00F62139" w:rsidP="00317E6B">
      <w:pPr>
        <w:pStyle w:val="Body1ALG"/>
      </w:pPr>
      <w:r w:rsidRPr="00DC6729">
        <w:t>With the exception of permitted investment in unlisted</w:t>
      </w:r>
      <w:r>
        <w:t xml:space="preserve"> debt</w:t>
      </w:r>
      <w:r w:rsidRPr="00DC6729">
        <w:t xml:space="preserve"> securities, investments will be made on the </w:t>
      </w:r>
      <w:r>
        <w:t xml:space="preserve">Regulated </w:t>
      </w:r>
      <w:r w:rsidRPr="00DC6729">
        <w:t xml:space="preserve">Markets listed in </w:t>
      </w:r>
      <w:r w:rsidRPr="00A267D1">
        <w:t>Appendix 1 to</w:t>
      </w:r>
      <w:r w:rsidRPr="00DC6729">
        <w:t xml:space="preserve"> the Prospectus.</w:t>
      </w:r>
      <w:r>
        <w:t xml:space="preserve"> The Fund will not invest in debt securities</w:t>
      </w:r>
      <w:r w:rsidRPr="00DC6729">
        <w:t xml:space="preserve"> that are convertible to equity.</w:t>
      </w:r>
      <w:r>
        <w:t xml:space="preserve"> </w:t>
      </w:r>
      <w:r w:rsidR="00317E6B" w:rsidRPr="00317E6B">
        <w:t>The Fund will not invest in othe</w:t>
      </w:r>
      <w:r w:rsidR="00317E6B">
        <w:t>r collective investment schemes</w:t>
      </w:r>
    </w:p>
    <w:p w:rsidR="00F62139" w:rsidRPr="00457302" w:rsidRDefault="00F62139" w:rsidP="00F62139">
      <w:pPr>
        <w:pStyle w:val="ALGHd2"/>
      </w:pPr>
      <w:r w:rsidRPr="00457302">
        <w:t xml:space="preserve">Investment </w:t>
      </w:r>
      <w:r>
        <w:t>s</w:t>
      </w:r>
      <w:r w:rsidRPr="00457302">
        <w:t>trategy</w:t>
      </w:r>
    </w:p>
    <w:p w:rsidR="00F62139" w:rsidRDefault="00F62139" w:rsidP="00F62139">
      <w:pPr>
        <w:pStyle w:val="Body1ALG"/>
        <w:rPr>
          <w:lang w:val="en-GB"/>
        </w:rPr>
      </w:pPr>
      <w:r w:rsidRPr="00DC6729">
        <w:t xml:space="preserve">The </w:t>
      </w:r>
      <w:r>
        <w:t>Fund</w:t>
      </w:r>
      <w:r w:rsidRPr="00DC6729">
        <w:t xml:space="preserve"> </w:t>
      </w:r>
      <w:r w:rsidR="001A6D52">
        <w:t xml:space="preserve">is actively managed and </w:t>
      </w:r>
      <w:r w:rsidRPr="00DC6729">
        <w:t>will be managed conservatively</w:t>
      </w:r>
      <w:r w:rsidRPr="0090707E">
        <w:t>.</w:t>
      </w:r>
      <w:r>
        <w:t xml:space="preserve"> </w:t>
      </w:r>
    </w:p>
    <w:p w:rsidR="00F62139" w:rsidRDefault="00F62139" w:rsidP="00F62139">
      <w:pPr>
        <w:pStyle w:val="Body1ALG"/>
      </w:pPr>
      <w:r>
        <w:t>The Investment Manager will use</w:t>
      </w:r>
      <w:r w:rsidRPr="007213D3">
        <w:t xml:space="preserve"> </w:t>
      </w:r>
      <w:r>
        <w:t>a</w:t>
      </w:r>
      <w:r w:rsidRPr="007213D3">
        <w:t xml:space="preserve"> top down</w:t>
      </w:r>
      <w:r>
        <w:t xml:space="preserve"> and</w:t>
      </w:r>
      <w:r w:rsidRPr="007213D3">
        <w:t xml:space="preserve"> bottom up </w:t>
      </w:r>
      <w:r>
        <w:t xml:space="preserve">investment strategy. </w:t>
      </w:r>
      <w:r w:rsidRPr="00517D01">
        <w:t xml:space="preserve">Top down investing involves looking at the </w:t>
      </w:r>
      <w:r>
        <w:t xml:space="preserve">wider </w:t>
      </w:r>
      <w:r w:rsidRPr="00517D01">
        <w:t>picture first</w:t>
      </w:r>
      <w:r>
        <w:t xml:space="preserve">, for example, </w:t>
      </w:r>
      <w:r w:rsidRPr="00517D01">
        <w:t>countries, sectors</w:t>
      </w:r>
      <w:r>
        <w:t xml:space="preserve">, </w:t>
      </w:r>
      <w:r w:rsidRPr="00517D01">
        <w:t xml:space="preserve">the </w:t>
      </w:r>
      <w:r>
        <w:t xml:space="preserve">global </w:t>
      </w:r>
      <w:r w:rsidRPr="00517D01">
        <w:t xml:space="preserve">economy and other areas forecast to perform well. </w:t>
      </w:r>
      <w:r w:rsidRPr="00776336">
        <w:t>Bottom up investing is the opposite approach</w:t>
      </w:r>
      <w:r>
        <w:t xml:space="preserve"> with the</w:t>
      </w:r>
      <w:r w:rsidRPr="00776336">
        <w:t xml:space="preserve"> main focus placed on analysing individual </w:t>
      </w:r>
      <w:r>
        <w:t>debt security and company performance</w:t>
      </w:r>
      <w:r w:rsidRPr="00776336">
        <w:t>.</w:t>
      </w:r>
      <w:r>
        <w:t xml:space="preserve"> Both approaches are used together to provide balance to the investment strategy.</w:t>
      </w:r>
    </w:p>
    <w:p w:rsidR="008F1487" w:rsidRDefault="00F62139" w:rsidP="00F62139">
      <w:pPr>
        <w:pStyle w:val="Body1ALG"/>
      </w:pPr>
      <w:r>
        <w:t xml:space="preserve">When selecting the </w:t>
      </w:r>
      <w:r w:rsidR="00C349B6">
        <w:t xml:space="preserve">bonds </w:t>
      </w:r>
      <w:r>
        <w:t xml:space="preserve">described above to achieve the investment objective, the Investment Manager will assess current and expected future interest rates by reference to the prevailing macro environment and expected future environment, credit spreads, duration and sectors. In making that assessment, the </w:t>
      </w:r>
      <w:r>
        <w:lastRenderedPageBreak/>
        <w:t xml:space="preserve">Investment Manager uses sources including </w:t>
      </w:r>
      <w:r w:rsidRPr="007213D3">
        <w:t xml:space="preserve">Bloomberg, </w:t>
      </w:r>
      <w:r>
        <w:t>R</w:t>
      </w:r>
      <w:r w:rsidRPr="007213D3">
        <w:t xml:space="preserve">ating </w:t>
      </w:r>
      <w:r>
        <w:t>A</w:t>
      </w:r>
      <w:r w:rsidRPr="007213D3">
        <w:t>gencies, broker and independent research.</w:t>
      </w:r>
      <w:r>
        <w:t xml:space="preserve"> T</w:t>
      </w:r>
      <w:r w:rsidRPr="007213D3">
        <w:t xml:space="preserve">he interest rate view </w:t>
      </w:r>
      <w:r>
        <w:t xml:space="preserve">and relative duration of each relevant </w:t>
      </w:r>
      <w:r w:rsidR="00C349B6">
        <w:t xml:space="preserve">bond </w:t>
      </w:r>
      <w:r w:rsidRPr="007213D3">
        <w:t xml:space="preserve">is </w:t>
      </w:r>
      <w:r>
        <w:t xml:space="preserve">reviewed </w:t>
      </w:r>
      <w:r w:rsidRPr="007213D3">
        <w:t>at desk level on a daily basis.</w:t>
      </w:r>
      <w:r w:rsidR="008F1487" w:rsidRPr="008F1487">
        <w:t xml:space="preserve"> </w:t>
      </w:r>
      <w:r w:rsidR="001B0D6F">
        <w:t xml:space="preserve">By investing at least 90% of the NAV of the Fund (excluding cash or cash equivalents) </w:t>
      </w:r>
      <w:r w:rsidR="001B0D6F" w:rsidRPr="002E6C53">
        <w:rPr>
          <w:lang w:val="en-GB"/>
        </w:rPr>
        <w:t>into bonds that will be selected from the</w:t>
      </w:r>
      <w:r w:rsidR="001B0D6F">
        <w:rPr>
          <w:lang w:val="en-GB"/>
        </w:rPr>
        <w:t xml:space="preserve"> Index, </w:t>
      </w:r>
      <w:r w:rsidR="00320064">
        <w:rPr>
          <w:lang w:val="en-GB"/>
        </w:rPr>
        <w:t xml:space="preserve">of which at </w:t>
      </w:r>
      <w:r w:rsidR="00320064" w:rsidRPr="008F1487">
        <w:t>least 50% will be invested in bonds in the upper half of the Index</w:t>
      </w:r>
      <w:r w:rsidR="00320064">
        <w:t>,</w:t>
      </w:r>
      <w:r w:rsidR="001B0D6F" w:rsidRPr="002E6C53">
        <w:rPr>
          <w:lang w:val="en-GB"/>
        </w:rPr>
        <w:t xml:space="preserve"> </w:t>
      </w:r>
      <w:r w:rsidR="00320064">
        <w:t>t</w:t>
      </w:r>
      <w:r w:rsidR="001B0D6F">
        <w:t>he Investment Manager</w:t>
      </w:r>
      <w:r w:rsidR="00320064">
        <w:t xml:space="preserve"> is ensuring that the Fund will invest in bonds of issuers with </w:t>
      </w:r>
      <w:r w:rsidR="00AE109E">
        <w:t xml:space="preserve">stronger </w:t>
      </w:r>
      <w:r w:rsidR="00320064">
        <w:t>ESG scores.</w:t>
      </w:r>
    </w:p>
    <w:p w:rsidR="00623AC3" w:rsidRDefault="008F1487" w:rsidP="00F62139">
      <w:pPr>
        <w:pStyle w:val="Body1ALG"/>
      </w:pPr>
      <w:r>
        <w:t>S</w:t>
      </w:r>
      <w:r w:rsidRPr="008F1487">
        <w:t>electing bonds from the Index ensures that the relevant bond issues have been reviewed b</w:t>
      </w:r>
      <w:r>
        <w:t xml:space="preserve">y the index provider. </w:t>
      </w:r>
      <w:r w:rsidR="00623AC3">
        <w:t xml:space="preserve">The Investment Manager will </w:t>
      </w:r>
      <w:r w:rsidR="00623AC3" w:rsidRPr="00623AC3">
        <w:rPr>
          <w:lang w:val="en-GB"/>
        </w:rPr>
        <w:t xml:space="preserve">update the holdings within the Fund </w:t>
      </w:r>
      <w:r w:rsidR="00623AC3">
        <w:rPr>
          <w:lang w:val="en-GB"/>
        </w:rPr>
        <w:t xml:space="preserve">on a </w:t>
      </w:r>
      <w:r w:rsidR="00F23CB8">
        <w:rPr>
          <w:lang w:val="en-GB"/>
        </w:rPr>
        <w:t xml:space="preserve">continuous </w:t>
      </w:r>
      <w:r w:rsidR="00623AC3">
        <w:rPr>
          <w:lang w:val="en-GB"/>
        </w:rPr>
        <w:t xml:space="preserve">basis </w:t>
      </w:r>
      <w:r w:rsidR="00623AC3" w:rsidRPr="00623AC3">
        <w:rPr>
          <w:lang w:val="en-GB"/>
        </w:rPr>
        <w:t>to ensure compatibility with the Index.</w:t>
      </w:r>
    </w:p>
    <w:p w:rsidR="00F62139" w:rsidRDefault="00F62139" w:rsidP="00F62139">
      <w:pPr>
        <w:pStyle w:val="Body1ALG"/>
      </w:pPr>
      <w:r>
        <w:rPr>
          <w:lang w:val="en-GB"/>
        </w:rPr>
        <w:t>The longer the duration of the</w:t>
      </w:r>
      <w:r w:rsidR="00C349B6">
        <w:rPr>
          <w:lang w:val="en-GB"/>
        </w:rPr>
        <w:t xml:space="preserve"> bond</w:t>
      </w:r>
      <w:r>
        <w:rPr>
          <w:lang w:val="en-GB"/>
        </w:rPr>
        <w:t xml:space="preserve">, the higher the yield and the higher the expected returns. </w:t>
      </w:r>
      <w:r w:rsidRPr="00DC6729">
        <w:t xml:space="preserve">It is envisaged that the </w:t>
      </w:r>
      <w:r>
        <w:t>M</w:t>
      </w:r>
      <w:r w:rsidRPr="00DC6729">
        <w:t xml:space="preserve">odified </w:t>
      </w:r>
      <w:r>
        <w:t>D</w:t>
      </w:r>
      <w:r w:rsidRPr="00DC6729">
        <w:t xml:space="preserve">uration of the </w:t>
      </w:r>
      <w:r>
        <w:t>Fund</w:t>
      </w:r>
      <w:r w:rsidRPr="00DC6729">
        <w:t xml:space="preserve">, calculated as the market value-weighted average of individual holdings' </w:t>
      </w:r>
      <w:r>
        <w:t>M</w:t>
      </w:r>
      <w:r w:rsidRPr="00DC6729">
        <w:t xml:space="preserve">odified </w:t>
      </w:r>
      <w:r>
        <w:t>D</w:t>
      </w:r>
      <w:r w:rsidRPr="00DC6729">
        <w:t xml:space="preserve">urations, </w:t>
      </w:r>
      <w:r w:rsidR="00766E50">
        <w:t xml:space="preserve">will target a 5 year duration term </w:t>
      </w:r>
      <w:r>
        <w:t>(being 5 years average weighted duration)</w:t>
      </w:r>
      <w:r w:rsidRPr="00DC6729">
        <w:t>.</w:t>
      </w:r>
      <w:r w:rsidR="00FA4A5C">
        <w:t xml:space="preserve"> The Modified Duration may be longer or shorter, at any given time, in order to aid performance of the Fund.</w:t>
      </w:r>
      <w:r>
        <w:t xml:space="preserve"> </w:t>
      </w:r>
      <w:r w:rsidRPr="00DC6729">
        <w:t xml:space="preserve">Modified Duration measures may be drawn from a variety of financial information sources, and for the purposes of the </w:t>
      </w:r>
      <w:r>
        <w:t>Fund</w:t>
      </w:r>
      <w:r w:rsidRPr="00DC6729">
        <w:t xml:space="preserve"> the Investment Manager anticipates using the Modified Duration numbers available from Bloomberg.</w:t>
      </w:r>
      <w:r>
        <w:t xml:space="preserve"> </w:t>
      </w:r>
      <w:r w:rsidRPr="00DC6729">
        <w:t>In the case of certain types of</w:t>
      </w:r>
      <w:r w:rsidR="00C349B6">
        <w:t xml:space="preserve"> bonds</w:t>
      </w:r>
      <w:r w:rsidRPr="00DC6729">
        <w:t>, such as those whose maturity may occur early, which render standard Modified Duration measures inappropriate for capturing interest rate risk, the</w:t>
      </w:r>
      <w:r>
        <w:t xml:space="preserve"> </w:t>
      </w:r>
      <w:r w:rsidRPr="00DC6729">
        <w:t>Investment Manager's estimation of likely early maturity dates may be used in producing an appropriate duration measure.</w:t>
      </w:r>
      <w:r w:rsidR="00A10D22">
        <w:t xml:space="preserve"> </w:t>
      </w:r>
    </w:p>
    <w:p w:rsidR="00F62139" w:rsidRDefault="00F62139" w:rsidP="00F62139">
      <w:pPr>
        <w:pStyle w:val="Body1ALG"/>
      </w:pPr>
      <w:r>
        <w:t xml:space="preserve">The Investment Manager, having considered those factors, will select the most appropriate </w:t>
      </w:r>
      <w:r w:rsidR="00FF2456">
        <w:t xml:space="preserve">bonds </w:t>
      </w:r>
      <w:r>
        <w:t>for investment.</w:t>
      </w:r>
    </w:p>
    <w:p w:rsidR="00910FEB" w:rsidRPr="00D72404" w:rsidRDefault="00910FEB" w:rsidP="00910FEB">
      <w:pPr>
        <w:pStyle w:val="ALGHd2"/>
      </w:pPr>
      <w:r w:rsidRPr="00D72404">
        <w:t xml:space="preserve">Ancillary </w:t>
      </w:r>
      <w:r>
        <w:t>l</w:t>
      </w:r>
      <w:r w:rsidRPr="00D72404">
        <w:t xml:space="preserve">iquid </w:t>
      </w:r>
      <w:r>
        <w:t>a</w:t>
      </w:r>
      <w:r w:rsidRPr="00D72404">
        <w:t>ssets</w:t>
      </w:r>
    </w:p>
    <w:p w:rsidR="00910FEB" w:rsidRDefault="00910FEB" w:rsidP="00910FEB">
      <w:pPr>
        <w:pStyle w:val="Body1ALG"/>
      </w:pPr>
      <w:r w:rsidRPr="00DC6729">
        <w:t xml:space="preserve">The </w:t>
      </w:r>
      <w:r>
        <w:t>Fund</w:t>
      </w:r>
      <w:r w:rsidRPr="00DC6729">
        <w:t xml:space="preserve"> may also hold </w:t>
      </w:r>
      <w:r>
        <w:t xml:space="preserve">up to 15% of the NAV in </w:t>
      </w:r>
      <w:r w:rsidRPr="00DC6729">
        <w:t xml:space="preserve">ancillary liquid assets </w:t>
      </w:r>
      <w:r>
        <w:t>being</w:t>
      </w:r>
      <w:r w:rsidRPr="00DC6729">
        <w:t xml:space="preserve"> cash, bank deposits, </w:t>
      </w:r>
      <w:r>
        <w:t xml:space="preserve">money market securities, for example, </w:t>
      </w:r>
      <w:r w:rsidRPr="00DC6729">
        <w:t xml:space="preserve">listed or traded short term paper including </w:t>
      </w:r>
      <w:r>
        <w:t xml:space="preserve">US </w:t>
      </w:r>
      <w:r w:rsidRPr="00DC6729">
        <w:t xml:space="preserve">treasury bills, </w:t>
      </w:r>
      <w:r>
        <w:t xml:space="preserve">negotiable </w:t>
      </w:r>
      <w:r w:rsidRPr="00DC6729">
        <w:t>certificates of deposit and commercial paper.</w:t>
      </w:r>
      <w:r>
        <w:t xml:space="preserve"> </w:t>
      </w:r>
    </w:p>
    <w:p w:rsidR="00910FEB" w:rsidRDefault="00910FEB" w:rsidP="00910FEB">
      <w:pPr>
        <w:pStyle w:val="Body1ALG"/>
      </w:pPr>
      <w:bookmarkStart w:id="7" w:name="_Ref510014116"/>
      <w:r w:rsidRPr="00DC6729">
        <w:t xml:space="preserve">In the event that the </w:t>
      </w:r>
      <w:r>
        <w:t>Fund</w:t>
      </w:r>
      <w:r w:rsidRPr="00DC6729">
        <w:t xml:space="preserve"> receives a large number of requests for subscriptions or </w:t>
      </w:r>
      <w:r>
        <w:t>repurchases</w:t>
      </w:r>
      <w:r w:rsidRPr="00DC6729">
        <w:t xml:space="preserve">, the </w:t>
      </w:r>
      <w:r>
        <w:t>Fund</w:t>
      </w:r>
      <w:r w:rsidRPr="00DC6729">
        <w:t xml:space="preserve"> may hold more than 15% but ordinarily only for a period of up to five Business Days.</w:t>
      </w:r>
      <w:bookmarkEnd w:id="7"/>
    </w:p>
    <w:p w:rsidR="00910FEB" w:rsidRDefault="00910FEB" w:rsidP="00910FEB">
      <w:pPr>
        <w:pStyle w:val="Body1ALG"/>
      </w:pPr>
      <w:r>
        <w:t xml:space="preserve">Additionally, where </w:t>
      </w:r>
      <w:r w:rsidRPr="00DC6729">
        <w:t>at the time of purchase in light of the prevailing market conditions</w:t>
      </w:r>
      <w:r>
        <w:t xml:space="preserve"> the Manager or Investment Manager considers such investments </w:t>
      </w:r>
      <w:r w:rsidRPr="00DC6729">
        <w:t xml:space="preserve">to be in the best interests of the </w:t>
      </w:r>
      <w:r>
        <w:t>Shareholders, the Fund</w:t>
      </w:r>
      <w:r w:rsidRPr="00DC6729">
        <w:t xml:space="preserve"> </w:t>
      </w:r>
      <w:r>
        <w:t>may hold more than 15% of the NAV in ancillary liquid assets</w:t>
      </w:r>
      <w:r w:rsidRPr="00DC6729">
        <w:t>.</w:t>
      </w:r>
    </w:p>
    <w:p w:rsidR="00910FEB" w:rsidRDefault="00910FEB" w:rsidP="00F702EF">
      <w:pPr>
        <w:pStyle w:val="Body1ALG"/>
      </w:pPr>
      <w:bookmarkStart w:id="8" w:name="_Ref510014454"/>
      <w:r w:rsidRPr="00DC6729">
        <w:t xml:space="preserve">The </w:t>
      </w:r>
      <w:r>
        <w:t>Fund</w:t>
      </w:r>
      <w:r w:rsidRPr="00DC6729">
        <w:t xml:space="preserve"> </w:t>
      </w:r>
      <w:r>
        <w:t xml:space="preserve">will </w:t>
      </w:r>
      <w:r w:rsidRPr="00DC6729">
        <w:t xml:space="preserve">hold </w:t>
      </w:r>
      <w:r>
        <w:t xml:space="preserve">ancillary liquid assets </w:t>
      </w:r>
      <w:r w:rsidRPr="00DC6729">
        <w:t>denominated in OECD currencies.</w:t>
      </w:r>
      <w:bookmarkEnd w:id="8"/>
    </w:p>
    <w:p w:rsidR="00317E6B" w:rsidRDefault="00317E6B" w:rsidP="00317E6B">
      <w:pPr>
        <w:tabs>
          <w:tab w:val="right" w:pos="9877"/>
        </w:tabs>
        <w:autoSpaceDE w:val="0"/>
        <w:autoSpaceDN w:val="0"/>
        <w:adjustRightInd w:val="0"/>
        <w:spacing w:line="240" w:lineRule="auto"/>
        <w:ind w:left="624" w:hanging="624"/>
        <w:jc w:val="left"/>
        <w:rPr>
          <w:rFonts w:cs="Arial"/>
          <w:b/>
          <w:bCs/>
          <w:sz w:val="18"/>
          <w:szCs w:val="18"/>
        </w:rPr>
      </w:pPr>
      <w:r>
        <w:rPr>
          <w:rFonts w:cs="Arial"/>
          <w:sz w:val="18"/>
          <w:szCs w:val="18"/>
        </w:rPr>
        <w:t>5.3</w:t>
      </w:r>
      <w:r>
        <w:rPr>
          <w:rFonts w:cs="Arial"/>
          <w:sz w:val="18"/>
          <w:szCs w:val="18"/>
        </w:rPr>
        <w:tab/>
      </w:r>
      <w:r>
        <w:rPr>
          <w:rFonts w:cs="Arial"/>
          <w:b/>
          <w:bCs/>
          <w:sz w:val="18"/>
          <w:szCs w:val="18"/>
        </w:rPr>
        <w:t>FDI</w:t>
      </w:r>
    </w:p>
    <w:p w:rsidR="00317E6B" w:rsidRPr="00317E6B" w:rsidRDefault="00317E6B" w:rsidP="00317E6B">
      <w:pPr>
        <w:tabs>
          <w:tab w:val="right" w:pos="9877"/>
        </w:tabs>
        <w:autoSpaceDE w:val="0"/>
        <w:autoSpaceDN w:val="0"/>
        <w:adjustRightInd w:val="0"/>
        <w:spacing w:line="240" w:lineRule="auto"/>
        <w:ind w:left="624"/>
        <w:rPr>
          <w:rFonts w:cs="Arial"/>
          <w:sz w:val="18"/>
          <w:szCs w:val="18"/>
        </w:rPr>
      </w:pPr>
      <w:r>
        <w:rPr>
          <w:rFonts w:cs="Arial"/>
          <w:sz w:val="18"/>
          <w:szCs w:val="18"/>
        </w:rPr>
        <w:t>The Fund does not currently use FDI. Where the Fund does intend to use FDI, a risk management process will be submitted to the Central Bank in accordance with the Central Bank UCITS Regulations prior to the Fund engaging in FDI transactions.</w:t>
      </w:r>
    </w:p>
    <w:p w:rsidR="00123495" w:rsidRDefault="00123495" w:rsidP="00123495">
      <w:pPr>
        <w:pStyle w:val="ALGHd1"/>
      </w:pPr>
      <w:r>
        <w:t>THE INDEX</w:t>
      </w:r>
    </w:p>
    <w:p w:rsidR="00123495" w:rsidRPr="003F0C7E" w:rsidRDefault="00FE7F9A" w:rsidP="003F0C7E">
      <w:pPr>
        <w:pStyle w:val="ALGHd2"/>
        <w:rPr>
          <w:b w:val="0"/>
        </w:rPr>
      </w:pPr>
      <w:r w:rsidRPr="003F0C7E">
        <w:rPr>
          <w:b w:val="0"/>
        </w:rPr>
        <w:t xml:space="preserve">The Index measures investment grade, fixed-rate, taxable, sterling-denominated securities issued by corporate issuers, and applies additional ESG criteria for security </w:t>
      </w:r>
      <w:r w:rsidR="001A6D52" w:rsidRPr="003F0C7E">
        <w:rPr>
          <w:b w:val="0"/>
        </w:rPr>
        <w:t>eligibility</w:t>
      </w:r>
      <w:r w:rsidRPr="003F0C7E">
        <w:rPr>
          <w:b w:val="0"/>
        </w:rPr>
        <w:t xml:space="preserve">. </w:t>
      </w:r>
      <w:r w:rsidR="00905927" w:rsidRPr="003F0C7E">
        <w:rPr>
          <w:b w:val="0"/>
        </w:rPr>
        <w:t>T</w:t>
      </w:r>
      <w:r w:rsidR="00FF4590" w:rsidRPr="003F0C7E">
        <w:rPr>
          <w:b w:val="0"/>
        </w:rPr>
        <w:t>he I</w:t>
      </w:r>
      <w:r w:rsidR="00905927" w:rsidRPr="003F0C7E">
        <w:rPr>
          <w:b w:val="0"/>
        </w:rPr>
        <w:t xml:space="preserve">ndex </w:t>
      </w:r>
      <w:r w:rsidR="00FF4590" w:rsidRPr="003F0C7E">
        <w:rPr>
          <w:b w:val="0"/>
        </w:rPr>
        <w:t>uses</w:t>
      </w:r>
      <w:r w:rsidR="00905927" w:rsidRPr="003F0C7E">
        <w:rPr>
          <w:b w:val="0"/>
        </w:rPr>
        <w:t xml:space="preserve"> MSCI ESG ratings and MSCI ESG ratings momentum to re-weight issuers within an existing Bloomberg Barclays parent index. </w:t>
      </w:r>
      <w:r w:rsidR="003F0C7E">
        <w:rPr>
          <w:b w:val="0"/>
        </w:rPr>
        <w:t xml:space="preserve">It </w:t>
      </w:r>
      <w:r w:rsidR="003F0C7E" w:rsidRPr="003F0C7E">
        <w:rPr>
          <w:b w:val="0"/>
        </w:rPr>
        <w:t>i</w:t>
      </w:r>
      <w:r w:rsidR="00FF4590" w:rsidRPr="003F0C7E">
        <w:rPr>
          <w:b w:val="0"/>
        </w:rPr>
        <w:t>s designed to overweight issuers that have higher ESG ratings and/or positive ratings momentum while underweighting issuers that have lower ratings and/or negative momentum. Security eligibility of the Index follows the same underlying rules as the Barclays Sterling Corporate Index, with different weighting tilts applied for each rating/ ratings momentum combination. Eligible sectors include industrial, utility and financials and a minimum size of £300m</w:t>
      </w:r>
      <w:r w:rsidR="0061570B" w:rsidRPr="0061570B">
        <w:t xml:space="preserve"> </w:t>
      </w:r>
      <w:r w:rsidR="0061570B">
        <w:rPr>
          <w:b w:val="0"/>
        </w:rPr>
        <w:t>for each bond's issuance</w:t>
      </w:r>
      <w:r w:rsidR="00333099">
        <w:rPr>
          <w:b w:val="0"/>
        </w:rPr>
        <w:t xml:space="preserve"> </w:t>
      </w:r>
      <w:r w:rsidR="00FF4590" w:rsidRPr="003F0C7E">
        <w:rPr>
          <w:b w:val="0"/>
        </w:rPr>
        <w:t xml:space="preserve">is required. ESG </w:t>
      </w:r>
      <w:r w:rsidR="00FF4590" w:rsidRPr="003F0C7E">
        <w:rPr>
          <w:b w:val="0"/>
        </w:rPr>
        <w:lastRenderedPageBreak/>
        <w:t>ratings are applied at the Ba</w:t>
      </w:r>
      <w:r w:rsidR="000A53B3" w:rsidRPr="003F0C7E">
        <w:rPr>
          <w:b w:val="0"/>
        </w:rPr>
        <w:t xml:space="preserve">rclays </w:t>
      </w:r>
      <w:r w:rsidR="00547837" w:rsidRPr="003F0C7E">
        <w:rPr>
          <w:b w:val="0"/>
        </w:rPr>
        <w:t>ticker</w:t>
      </w:r>
      <w:r w:rsidR="000A53B3" w:rsidRPr="003F0C7E">
        <w:rPr>
          <w:b w:val="0"/>
        </w:rPr>
        <w:t xml:space="preserve"> level and so each bond within the same ticker will have the same ESG rating</w:t>
      </w:r>
      <w:r w:rsidR="006D48F0" w:rsidRPr="003F0C7E">
        <w:rPr>
          <w:b w:val="0"/>
        </w:rPr>
        <w:t xml:space="preserve"> (</w:t>
      </w:r>
      <w:r w:rsidR="008744BC" w:rsidRPr="003F0C7E">
        <w:rPr>
          <w:b w:val="0"/>
        </w:rPr>
        <w:t>i.e.</w:t>
      </w:r>
      <w:r w:rsidR="00863A9A" w:rsidRPr="003F0C7E">
        <w:rPr>
          <w:b w:val="0"/>
        </w:rPr>
        <w:t xml:space="preserve"> each bond</w:t>
      </w:r>
      <w:r w:rsidR="006D48F0" w:rsidRPr="003F0C7E">
        <w:rPr>
          <w:b w:val="0"/>
        </w:rPr>
        <w:t xml:space="preserve"> </w:t>
      </w:r>
      <w:r w:rsidR="00863A9A" w:rsidRPr="003F0C7E">
        <w:rPr>
          <w:b w:val="0"/>
        </w:rPr>
        <w:t xml:space="preserve">issued </w:t>
      </w:r>
      <w:r w:rsidR="006D48F0" w:rsidRPr="003F0C7E">
        <w:rPr>
          <w:b w:val="0"/>
        </w:rPr>
        <w:t>from the same entity will have the same ESG rating)</w:t>
      </w:r>
      <w:r w:rsidR="000A53B3" w:rsidRPr="003F0C7E">
        <w:rPr>
          <w:b w:val="0"/>
        </w:rPr>
        <w:t xml:space="preserve">. The ESG ratings are </w:t>
      </w:r>
      <w:r w:rsidR="00FF4590" w:rsidRPr="003F0C7E">
        <w:rPr>
          <w:b w:val="0"/>
        </w:rPr>
        <w:t>generally updated annually</w:t>
      </w:r>
      <w:r w:rsidR="00547837" w:rsidRPr="003F0C7E">
        <w:rPr>
          <w:b w:val="0"/>
        </w:rPr>
        <w:t xml:space="preserve"> by the Index provider </w:t>
      </w:r>
      <w:r w:rsidR="00FF4590" w:rsidRPr="003F0C7E">
        <w:rPr>
          <w:b w:val="0"/>
        </w:rPr>
        <w:t>but m</w:t>
      </w:r>
      <w:r w:rsidR="00547837" w:rsidRPr="003F0C7E">
        <w:rPr>
          <w:b w:val="0"/>
        </w:rPr>
        <w:t>ay be reviewed more frequently by the Index provider</w:t>
      </w:r>
      <w:r w:rsidR="00FF4590" w:rsidRPr="003F0C7E">
        <w:rPr>
          <w:b w:val="0"/>
        </w:rPr>
        <w:t>.</w:t>
      </w:r>
    </w:p>
    <w:p w:rsidR="00F62139" w:rsidRPr="000B5C98" w:rsidRDefault="00F62139" w:rsidP="00F62139">
      <w:pPr>
        <w:pStyle w:val="ALGHd1"/>
        <w:rPr>
          <w:color w:val="FF0000"/>
        </w:rPr>
      </w:pPr>
      <w:bookmarkStart w:id="9" w:name="_Ref510014444"/>
      <w:bookmarkStart w:id="10" w:name="_Toc13488211"/>
      <w:r w:rsidRPr="00FE2318">
        <w:t xml:space="preserve">Investment </w:t>
      </w:r>
      <w:r>
        <w:t>r</w:t>
      </w:r>
      <w:r w:rsidRPr="00FE2318">
        <w:t>estrictions</w:t>
      </w:r>
      <w:bookmarkEnd w:id="9"/>
      <w:bookmarkEnd w:id="10"/>
    </w:p>
    <w:p w:rsidR="006F75FF" w:rsidRDefault="00F62139" w:rsidP="003A5F2E">
      <w:pPr>
        <w:pStyle w:val="ALGNo2"/>
      </w:pPr>
      <w:r w:rsidRPr="00DC6729">
        <w:t xml:space="preserve">The general investment restrictions as set out in the section of the Prospectus entitled </w:t>
      </w:r>
      <w:r w:rsidRPr="00DC6729">
        <w:rPr>
          <w:b/>
        </w:rPr>
        <w:t>Investment Restrictions</w:t>
      </w:r>
      <w:r w:rsidRPr="00DC6729">
        <w:t xml:space="preserve"> shall apply.</w:t>
      </w:r>
      <w:r>
        <w:t xml:space="preserve"> </w:t>
      </w:r>
    </w:p>
    <w:p w:rsidR="00985CD0" w:rsidRPr="008F1487" w:rsidRDefault="00985CD0" w:rsidP="006F75FF">
      <w:pPr>
        <w:pStyle w:val="ALGNo3"/>
      </w:pPr>
      <w:bookmarkStart w:id="11" w:name="_Ref510014451"/>
      <w:r>
        <w:t>At least 90% of the Fund's NAV (excluding cash or cash equivalents) will be invested in</w:t>
      </w:r>
      <w:r w:rsidRPr="002E6C53">
        <w:rPr>
          <w:lang w:val="en-GB"/>
        </w:rPr>
        <w:t xml:space="preserve"> </w:t>
      </w:r>
      <w:r>
        <w:rPr>
          <w:lang w:val="en-GB"/>
        </w:rPr>
        <w:t>debt securities</w:t>
      </w:r>
      <w:r w:rsidRPr="002E6C53">
        <w:rPr>
          <w:lang w:val="en-GB"/>
        </w:rPr>
        <w:t xml:space="preserve"> that will be selected from the </w:t>
      </w:r>
      <w:r w:rsidRPr="00985CD0">
        <w:rPr>
          <w:lang w:val="en-GB"/>
        </w:rPr>
        <w:t>Index.</w:t>
      </w:r>
    </w:p>
    <w:p w:rsidR="008F1487" w:rsidRPr="00FA4A5C" w:rsidRDefault="008F1487" w:rsidP="004A66A1">
      <w:pPr>
        <w:pStyle w:val="ALGNo3"/>
      </w:pPr>
      <w:r>
        <w:t>A</w:t>
      </w:r>
      <w:r w:rsidRPr="008F1487">
        <w:t>t least 50% of the NAV of the Fund (excl</w:t>
      </w:r>
      <w:r>
        <w:t>uding</w:t>
      </w:r>
      <w:r w:rsidRPr="008F1487">
        <w:t xml:space="preserve"> ancillary liquid assets) will be invested in bonds in the upper half of the Index</w:t>
      </w:r>
      <w:r w:rsidR="004A66A1">
        <w:t xml:space="preserve"> (being the </w:t>
      </w:r>
      <w:r w:rsidR="004A66A1" w:rsidRPr="004A66A1">
        <w:t>top 50% of the bonds included in the index</w:t>
      </w:r>
      <w:r w:rsidR="004A66A1">
        <w:t>)</w:t>
      </w:r>
      <w:r w:rsidRPr="008F1487">
        <w:t>.</w:t>
      </w:r>
      <w:r>
        <w:t xml:space="preserve"> </w:t>
      </w:r>
    </w:p>
    <w:p w:rsidR="00FA4A5C" w:rsidRDefault="00FA4A5C" w:rsidP="00FA4A5C">
      <w:pPr>
        <w:pStyle w:val="ALGNo3"/>
      </w:pPr>
      <w:r>
        <w:t xml:space="preserve">No more than 20% of the NAV of the Fund </w:t>
      </w:r>
      <w:r w:rsidRPr="00FA4A5C">
        <w:t>(excluding cash or cash equivalents)</w:t>
      </w:r>
      <w:r>
        <w:t xml:space="preserve"> will be invested within each market sector as outlined in Appendix 1</w:t>
      </w:r>
      <w:r w:rsidR="00A42A4A">
        <w:t>.</w:t>
      </w:r>
    </w:p>
    <w:p w:rsidR="006F75FF" w:rsidRDefault="006F75FF" w:rsidP="00115026">
      <w:pPr>
        <w:pStyle w:val="ALGNo3"/>
      </w:pPr>
      <w:bookmarkStart w:id="12" w:name="_Ref510014452"/>
      <w:bookmarkEnd w:id="11"/>
      <w:r w:rsidRPr="00DC6729">
        <w:t xml:space="preserve">Other than </w:t>
      </w:r>
      <w:r>
        <w:t>the ancillary liquid assets</w:t>
      </w:r>
      <w:r w:rsidRPr="00DC6729">
        <w:t xml:space="preserve">, the </w:t>
      </w:r>
      <w:r>
        <w:t>Fund</w:t>
      </w:r>
      <w:r w:rsidRPr="00DC6729">
        <w:t xml:space="preserve"> will invest only in </w:t>
      </w:r>
      <w:r>
        <w:t xml:space="preserve">debt securities </w:t>
      </w:r>
      <w:r w:rsidRPr="00DC6729">
        <w:t xml:space="preserve">rated BBB- or equivalent or higher by a </w:t>
      </w:r>
      <w:r>
        <w:t>Ratings A</w:t>
      </w:r>
      <w:r w:rsidRPr="00DC6729">
        <w:t>gency</w:t>
      </w:r>
      <w:bookmarkEnd w:id="12"/>
      <w:r w:rsidR="004A66A1">
        <w:t xml:space="preserve"> save that t</w:t>
      </w:r>
      <w:r>
        <w:t xml:space="preserve">he Fund may invest up to 10% of </w:t>
      </w:r>
      <w:r w:rsidR="004A66A1">
        <w:t>its</w:t>
      </w:r>
      <w:r>
        <w:t xml:space="preserve"> Net Asset Value in debt securities which are not rated.</w:t>
      </w:r>
    </w:p>
    <w:p w:rsidR="00F62139" w:rsidRDefault="00F62139" w:rsidP="00F62139">
      <w:pPr>
        <w:pStyle w:val="ALGNo2"/>
      </w:pPr>
      <w:bookmarkStart w:id="13" w:name="_Ref510014455"/>
      <w:r w:rsidRPr="00DC6729">
        <w:t>The Directors may from time to time impose such further investment restrictions as shall be compatible with or in the interests of shareholders, in order to comply with the laws and regulations of the countries where shareholders are located.</w:t>
      </w:r>
      <w:bookmarkEnd w:id="13"/>
    </w:p>
    <w:p w:rsidR="00F62139" w:rsidRPr="00FE2318" w:rsidRDefault="00F62139" w:rsidP="00F62139">
      <w:pPr>
        <w:pStyle w:val="ALGHd1"/>
      </w:pPr>
      <w:bookmarkStart w:id="14" w:name="_Ref510014456"/>
      <w:bookmarkStart w:id="15" w:name="_Toc13488212"/>
      <w:r w:rsidRPr="00FE2318">
        <w:t>Borrowing</w:t>
      </w:r>
      <w:bookmarkEnd w:id="14"/>
      <w:r>
        <w:t xml:space="preserve"> and leverage</w:t>
      </w:r>
      <w:bookmarkEnd w:id="15"/>
    </w:p>
    <w:p w:rsidR="00F62139" w:rsidRDefault="00F62139" w:rsidP="00F62139">
      <w:pPr>
        <w:pStyle w:val="ALGNo2"/>
      </w:pPr>
      <w:r w:rsidRPr="00DC6729">
        <w:t xml:space="preserve">The </w:t>
      </w:r>
      <w:r>
        <w:t>Fund</w:t>
      </w:r>
      <w:r w:rsidRPr="00DC6729">
        <w:t xml:space="preserve"> may only borrow on a temporary basis up to 10% of its NAV at any time and may secure such borrowings by granting security over the assets of the </w:t>
      </w:r>
      <w:r>
        <w:t>Fund</w:t>
      </w:r>
      <w:r w:rsidRPr="00DC6729">
        <w:t>.</w:t>
      </w:r>
      <w:r>
        <w:t xml:space="preserve"> </w:t>
      </w:r>
      <w:r w:rsidRPr="00DC6729">
        <w:t>Such borrowings shall not be made for investment purposes, nor form any part of</w:t>
      </w:r>
      <w:r>
        <w:t xml:space="preserve"> a medium or long term strategy. S</w:t>
      </w:r>
      <w:r w:rsidRPr="00DC6729">
        <w:t>uch facilities will be available for management of short-term liquidity needs.</w:t>
      </w:r>
    </w:p>
    <w:p w:rsidR="00F62139" w:rsidRPr="00DC6729" w:rsidRDefault="00F62139" w:rsidP="00F62139">
      <w:pPr>
        <w:pStyle w:val="ALGNo2"/>
      </w:pPr>
      <w:r>
        <w:t>The Fund will not be leveraged.</w:t>
      </w:r>
    </w:p>
    <w:p w:rsidR="00F62139" w:rsidRPr="00FE2318" w:rsidRDefault="00F62139" w:rsidP="00F62139">
      <w:pPr>
        <w:pStyle w:val="ALGHd1"/>
      </w:pPr>
      <w:bookmarkStart w:id="16" w:name="_Ref510014457"/>
      <w:bookmarkStart w:id="17" w:name="_Toc13488213"/>
      <w:r w:rsidRPr="00FE2318">
        <w:t>Risk factors</w:t>
      </w:r>
      <w:bookmarkEnd w:id="16"/>
      <w:bookmarkEnd w:id="17"/>
    </w:p>
    <w:p w:rsidR="00F62139" w:rsidRDefault="00F62139" w:rsidP="00F62139">
      <w:pPr>
        <w:pStyle w:val="Body1ALG"/>
      </w:pPr>
      <w:r w:rsidRPr="00DC6729">
        <w:t xml:space="preserve">The </w:t>
      </w:r>
      <w:r>
        <w:t>R</w:t>
      </w:r>
      <w:r w:rsidRPr="00DC6729">
        <w:t xml:space="preserve">isk </w:t>
      </w:r>
      <w:r>
        <w:t>F</w:t>
      </w:r>
      <w:r w:rsidRPr="00DC6729">
        <w:t>actors as set out in the Prospectus shall apply</w:t>
      </w:r>
      <w:r>
        <w:t xml:space="preserve"> to the Fund</w:t>
      </w:r>
      <w:r w:rsidRPr="00DC6729">
        <w:t>.</w:t>
      </w:r>
    </w:p>
    <w:p w:rsidR="00F62139" w:rsidRDefault="00F62139" w:rsidP="00F62139">
      <w:pPr>
        <w:pStyle w:val="ALGHd2"/>
      </w:pPr>
      <w:r>
        <w:t>Fund risk</w:t>
      </w:r>
    </w:p>
    <w:p w:rsidR="00F62139" w:rsidRDefault="00F62139" w:rsidP="00F62139">
      <w:pPr>
        <w:pStyle w:val="Body1ALG"/>
      </w:pPr>
      <w:r w:rsidRPr="00DC6729">
        <w:t xml:space="preserve">Investors should also note that subscription for shares of the </w:t>
      </w:r>
      <w:r>
        <w:t>Fund</w:t>
      </w:r>
      <w:r w:rsidRPr="00DC6729">
        <w:t xml:space="preserve"> is not the same as placing funds on deposit with a bank or other deposit-taking body.</w:t>
      </w:r>
      <w:r>
        <w:t xml:space="preserve"> </w:t>
      </w:r>
      <w:r w:rsidRPr="00DC6729">
        <w:t xml:space="preserve">The value of the </w:t>
      </w:r>
      <w:r>
        <w:t>Fund</w:t>
      </w:r>
      <w:r w:rsidRPr="00DC6729">
        <w:t xml:space="preserve"> may be affected by the creditworthiness of issuers of the </w:t>
      </w:r>
      <w:r>
        <w:t>Fund</w:t>
      </w:r>
      <w:r w:rsidRPr="00DC6729">
        <w:t>'s investments and may also be affected by substantial adverse movements in interest rates or changes in exchange rates between currencies.</w:t>
      </w:r>
      <w:r>
        <w:t xml:space="preserve"> </w:t>
      </w:r>
      <w:bookmarkStart w:id="18" w:name="_Ref510014458"/>
    </w:p>
    <w:p w:rsidR="00F62139" w:rsidRDefault="00F62139" w:rsidP="00F62139">
      <w:pPr>
        <w:pStyle w:val="ALGHd2"/>
      </w:pPr>
      <w:r>
        <w:t>Debt securities risk</w:t>
      </w:r>
    </w:p>
    <w:p w:rsidR="00F62139" w:rsidRDefault="00F62139" w:rsidP="00F62139">
      <w:pPr>
        <w:pStyle w:val="Body2ALG"/>
      </w:pPr>
      <w:r>
        <w:t>Investments in fixed rate debt securities entail certain risks including adverse income fluctuation associated with general economic conditions affecting the debt securities market, as well as adverse interest rate changes and volatility of yields. When interest rates decline, the market value of the Fund's fixed rate debt securities can be expected to rise. Conversely, when interest rates rise, the market value of the Fund's fixed rate debt securities can be expected to decline.</w:t>
      </w:r>
    </w:p>
    <w:p w:rsidR="00F62139" w:rsidRDefault="00F62139" w:rsidP="00F62139">
      <w:pPr>
        <w:pStyle w:val="Body2ALG"/>
      </w:pPr>
      <w:r>
        <w:lastRenderedPageBreak/>
        <w:t>Floating rate debt securities are popular when interest rates are expected to increase. Compared to fixed rate debt securities, floating rate securities protect investors against a rise in interest rates. This is because interest rates have an inverse relationship with fixed rate security prices, and the market price of a fixed rate security will drop if interest rates increase. Floating rate debt securities may also have unpredictable coupon payments, although the instrument may have a cap and/or a floor, which may allow an investor to know the maximum and/or minimum interest rate the debt security might pay.</w:t>
      </w:r>
    </w:p>
    <w:p w:rsidR="00F62139" w:rsidRPr="008D1F68" w:rsidRDefault="00F62139" w:rsidP="00F62139">
      <w:pPr>
        <w:pStyle w:val="Body2ALG"/>
      </w:pPr>
      <w:r>
        <w:t>Investments in debt securities are subject to the risk that the issuer could default on its obligations and the Fund could sustain losses on such investments. The Fund will seek to limit such risks by investing in Investment Grade debt securities, but the Fund may acquire debt securities with respect to which the issuer subsequently defaults.</w:t>
      </w:r>
    </w:p>
    <w:p w:rsidR="00F62139" w:rsidRPr="00DC6729" w:rsidRDefault="00F62139" w:rsidP="00F62139">
      <w:pPr>
        <w:pStyle w:val="ALGHd2"/>
      </w:pPr>
      <w:r>
        <w:t>Concentration of i</w:t>
      </w:r>
      <w:r w:rsidRPr="00DC6729">
        <w:t>nvestments</w:t>
      </w:r>
      <w:bookmarkEnd w:id="18"/>
      <w:r>
        <w:t xml:space="preserve"> risk</w:t>
      </w:r>
    </w:p>
    <w:p w:rsidR="00F62139" w:rsidRPr="00DC6729" w:rsidRDefault="00F62139" w:rsidP="00F62139">
      <w:pPr>
        <w:pStyle w:val="Body2ALG"/>
      </w:pPr>
      <w:r w:rsidRPr="00DC6729">
        <w:t xml:space="preserve">Because the </w:t>
      </w:r>
      <w:r>
        <w:t>Fund</w:t>
      </w:r>
      <w:r w:rsidRPr="00DC6729">
        <w:t xml:space="preserve">'s assets may be invested in a limited number of investments which may be concentrated in a few countries, industries, sectors of the economy or issuers, the negative impact on the value of the </w:t>
      </w:r>
      <w:r>
        <w:t>Fund</w:t>
      </w:r>
      <w:r w:rsidRPr="00DC6729">
        <w:t xml:space="preserve">'s assets from adverse movements in a particular economy or industry or in the value of the </w:t>
      </w:r>
      <w:r>
        <w:t xml:space="preserve">debt </w:t>
      </w:r>
      <w:r w:rsidRPr="00DC6729">
        <w:t xml:space="preserve">securities of a particular issuer could be considerably greater than if the </w:t>
      </w:r>
      <w:r>
        <w:t>Fund</w:t>
      </w:r>
      <w:r w:rsidRPr="00DC6729">
        <w:t xml:space="preserve"> were permitted to not concentrate its investments to such an extent.</w:t>
      </w:r>
      <w:r>
        <w:t xml:space="preserve"> </w:t>
      </w:r>
      <w:r w:rsidRPr="00DC6729">
        <w:t>Sector concentration limits have been set, in order to limit sector-specific risks.</w:t>
      </w:r>
    </w:p>
    <w:p w:rsidR="00F62139" w:rsidRPr="00DC6729" w:rsidRDefault="00F62139" w:rsidP="00F62139">
      <w:pPr>
        <w:pStyle w:val="ALGHd2"/>
      </w:pPr>
      <w:bookmarkStart w:id="19" w:name="_Ref510014459"/>
      <w:r w:rsidRPr="00DC6729">
        <w:t xml:space="preserve">Interest </w:t>
      </w:r>
      <w:r>
        <w:t>r</w:t>
      </w:r>
      <w:r w:rsidRPr="00DC6729">
        <w:t xml:space="preserve">ate </w:t>
      </w:r>
      <w:r>
        <w:t>r</w:t>
      </w:r>
      <w:r w:rsidRPr="00DC6729">
        <w:t>isk</w:t>
      </w:r>
      <w:bookmarkEnd w:id="19"/>
    </w:p>
    <w:p w:rsidR="00F62139" w:rsidRPr="00DC6729" w:rsidRDefault="00F62139" w:rsidP="00F62139">
      <w:pPr>
        <w:pStyle w:val="Body2ALG"/>
      </w:pPr>
      <w:r w:rsidRPr="00DC6729">
        <w:t>The NAV may be adversely affected by changes in interest rates.</w:t>
      </w:r>
      <w:r>
        <w:t xml:space="preserve"> </w:t>
      </w:r>
      <w:r w:rsidRPr="00DC6729">
        <w:t>Interest rates are determined by factors of supply and demand in the international money markets, which are in turn influenced by macro-economic factors, speculation and central bank or other forms of government intervention.</w:t>
      </w:r>
      <w:r>
        <w:t xml:space="preserve"> </w:t>
      </w:r>
      <w:r w:rsidRPr="00DC6729">
        <w:t>Fluctuations in short-term and/or long-term interest rates may affect the value of the shares.</w:t>
      </w:r>
    </w:p>
    <w:p w:rsidR="00F62139" w:rsidRPr="00DC6729" w:rsidRDefault="00F62139" w:rsidP="00F62139">
      <w:pPr>
        <w:pStyle w:val="ALGHd2"/>
      </w:pPr>
      <w:bookmarkStart w:id="20" w:name="_Ref510014460"/>
      <w:r w:rsidRPr="00DC6729">
        <w:t xml:space="preserve">Operational and </w:t>
      </w:r>
      <w:r>
        <w:t>h</w:t>
      </w:r>
      <w:r w:rsidRPr="00DC6729">
        <w:t xml:space="preserve">uman </w:t>
      </w:r>
      <w:r>
        <w:t>e</w:t>
      </w:r>
      <w:r w:rsidRPr="00DC6729">
        <w:t>rror</w:t>
      </w:r>
      <w:bookmarkEnd w:id="20"/>
      <w:r>
        <w:t xml:space="preserve"> risk</w:t>
      </w:r>
    </w:p>
    <w:p w:rsidR="00F62139" w:rsidRPr="00DC6729" w:rsidRDefault="00F62139" w:rsidP="00F62139">
      <w:pPr>
        <w:pStyle w:val="Body2ALG"/>
      </w:pPr>
      <w:r w:rsidRPr="00DC6729">
        <w:t xml:space="preserve">The success of the </w:t>
      </w:r>
      <w:r>
        <w:t>Fund</w:t>
      </w:r>
      <w:r w:rsidRPr="00DC6729">
        <w:t xml:space="preserve"> depends in part upon the Investment Manager's accurate calculation of price</w:t>
      </w:r>
      <w:r>
        <w:t>,</w:t>
      </w:r>
      <w:r w:rsidRPr="00DC6729">
        <w:t xml:space="preserve"> relationships, the communication of precise trading instructions and on-going position evaluations.</w:t>
      </w:r>
      <w:r>
        <w:t xml:space="preserve"> </w:t>
      </w:r>
      <w:r w:rsidRPr="00DC6729">
        <w:t xml:space="preserve">In addition, the </w:t>
      </w:r>
      <w:r>
        <w:t>Fund</w:t>
      </w:r>
      <w:r w:rsidRPr="00DC6729">
        <w:t xml:space="preserve">'s </w:t>
      </w:r>
      <w:r>
        <w:t xml:space="preserve">investment </w:t>
      </w:r>
      <w:r w:rsidRPr="00DC6729">
        <w:t>strategies</w:t>
      </w:r>
      <w:r>
        <w:t>,</w:t>
      </w:r>
      <w:r w:rsidRPr="00DC6729">
        <w:t xml:space="preserve"> </w:t>
      </w:r>
      <w:r>
        <w:t xml:space="preserve">as set out in the Investment Policy section above, </w:t>
      </w:r>
      <w:r w:rsidRPr="00DC6729">
        <w:t xml:space="preserve">may require active and on-going management of durations and other variables, and dynamic adjustments to the </w:t>
      </w:r>
      <w:r>
        <w:t>Fund</w:t>
      </w:r>
      <w:r w:rsidRPr="00DC6729">
        <w:t>'s positions.</w:t>
      </w:r>
      <w:r>
        <w:t xml:space="preserve"> </w:t>
      </w:r>
      <w:r w:rsidRPr="00DC6729">
        <w:t>There is the possibility that, through human error, oversight or operational weaknesses, mistakes could occur in this process and lead to significant trading losses and an adverse effect on the NAV.</w:t>
      </w:r>
    </w:p>
    <w:p w:rsidR="00F62139" w:rsidRPr="00DC6729" w:rsidRDefault="00F62139" w:rsidP="00F62139">
      <w:pPr>
        <w:pStyle w:val="ALGHd2"/>
      </w:pPr>
      <w:bookmarkStart w:id="21" w:name="_Ref510014461"/>
      <w:r w:rsidRPr="00DC6729">
        <w:t xml:space="preserve">Market </w:t>
      </w:r>
      <w:r>
        <w:t>r</w:t>
      </w:r>
      <w:r w:rsidRPr="00DC6729">
        <w:t>isk</w:t>
      </w:r>
      <w:bookmarkEnd w:id="21"/>
    </w:p>
    <w:p w:rsidR="00F62139" w:rsidRDefault="00F62139" w:rsidP="00F62139">
      <w:pPr>
        <w:pStyle w:val="Body2ALG"/>
      </w:pPr>
      <w:r w:rsidRPr="00DC6729">
        <w:t xml:space="preserve">The investments of </w:t>
      </w:r>
      <w:r>
        <w:t>the Fund</w:t>
      </w:r>
      <w:r w:rsidRPr="00DC6729">
        <w:t xml:space="preserve"> are subject to normal market fluctuations and the risks inherent in investment in international securities markets and there can be no assurances that appreciation will occur.</w:t>
      </w:r>
      <w:r>
        <w:t xml:space="preserve"> D</w:t>
      </w:r>
      <w:r w:rsidRPr="00DC6729">
        <w:t xml:space="preserve">iversification across a sizeable number of </w:t>
      </w:r>
      <w:r>
        <w:t xml:space="preserve">debt </w:t>
      </w:r>
      <w:r w:rsidRPr="00DC6729">
        <w:t xml:space="preserve">securities and markets </w:t>
      </w:r>
      <w:r>
        <w:t xml:space="preserve">mitigates against market fluctuations and </w:t>
      </w:r>
      <w:r w:rsidRPr="00DC6729">
        <w:t>typically result in the reduction of volatility at the portfolio level compared with the individual security level.</w:t>
      </w:r>
      <w:r>
        <w:t xml:space="preserve"> </w:t>
      </w:r>
      <w:r w:rsidRPr="00DC6729">
        <w:t>In addition, the Investment Manager will select</w:t>
      </w:r>
      <w:r>
        <w:t xml:space="preserve"> debt</w:t>
      </w:r>
      <w:r w:rsidRPr="00DC6729">
        <w:t xml:space="preserve"> securities such as to endeavour to prevent high levels of volatility.</w:t>
      </w:r>
      <w:r>
        <w:t xml:space="preserve"> Debt securities </w:t>
      </w:r>
      <w:r w:rsidRPr="00DC6729">
        <w:t>are interest rate sensitive and may be subject to price volatility due to various factors including, but not limited to, changes in interest rates, market perception of the creditworthiness of the issuer and general market liquidity.</w:t>
      </w:r>
      <w:r>
        <w:t xml:space="preserve"> </w:t>
      </w:r>
      <w:r w:rsidRPr="00DC6729">
        <w:t xml:space="preserve">The magnitude of these price fluctuations will be greater when the maturity of the outstanding </w:t>
      </w:r>
      <w:r>
        <w:t xml:space="preserve">debt </w:t>
      </w:r>
      <w:r w:rsidRPr="00DC6729">
        <w:t>securities is longer.</w:t>
      </w:r>
      <w:r>
        <w:t xml:space="preserve"> </w:t>
      </w:r>
      <w:r w:rsidRPr="00DC6729">
        <w:t xml:space="preserve">The performance of </w:t>
      </w:r>
      <w:r>
        <w:t>the Fund</w:t>
      </w:r>
      <w:r w:rsidRPr="00DC6729">
        <w:t xml:space="preserve"> will therefore depend in part on the ability of the Investment Manager to anticipate and respond to such fluctuations in stock prices, market interest rates and currency rates and to utilise appropriate strategies to maximise returns, while attempting to reduce the associated risks to investment capital.</w:t>
      </w:r>
    </w:p>
    <w:p w:rsidR="00074C3B" w:rsidRDefault="00074C3B" w:rsidP="00074C3B">
      <w:pPr>
        <w:pStyle w:val="ALGHd2"/>
      </w:pPr>
      <w:r>
        <w:lastRenderedPageBreak/>
        <w:t>Pandemic Risk</w:t>
      </w:r>
    </w:p>
    <w:p w:rsidR="00074C3B" w:rsidRDefault="00074C3B" w:rsidP="00074C3B">
      <w:pPr>
        <w:pStyle w:val="ALGHd2"/>
        <w:numPr>
          <w:ilvl w:val="0"/>
          <w:numId w:val="0"/>
        </w:numPr>
        <w:ind w:left="624"/>
        <w:rPr>
          <w:b w:val="0"/>
        </w:rPr>
      </w:pPr>
      <w:r w:rsidRPr="00074C3B">
        <w:rPr>
          <w:b w:val="0"/>
        </w:rPr>
        <w:t>An outbreak of an infectious disease, pandemic or any other serious public health concern could occu</w:t>
      </w:r>
      <w:r w:rsidR="00E30B6F">
        <w:rPr>
          <w:b w:val="0"/>
        </w:rPr>
        <w:t>r in any jurisdiction in which the</w:t>
      </w:r>
      <w:r w:rsidRPr="00074C3B">
        <w:rPr>
          <w:b w:val="0"/>
        </w:rPr>
        <w:t xml:space="preserve"> Fund may invest, leading to changes in regional and global economic conditions and cycles which may have a negative impact on the Fund’s investments and consequently its net asset value. Any such outbreak may also have an adverse effect on the wider global economy and/or markets, such as the ability of exchanges to trade securities and clear and settle transaction</w:t>
      </w:r>
      <w:r w:rsidR="00E30B6F">
        <w:rPr>
          <w:b w:val="0"/>
        </w:rPr>
        <w:t>s, which may negatively impact the</w:t>
      </w:r>
      <w:r w:rsidRPr="00074C3B">
        <w:rPr>
          <w:b w:val="0"/>
        </w:rPr>
        <w:t xml:space="preserve"> Fund’s investments more generally. In addition a serious outbreak of infectious disease may also be a force majeure event under contracts that the </w:t>
      </w:r>
      <w:r w:rsidR="00E30B6F">
        <w:rPr>
          <w:b w:val="0"/>
        </w:rPr>
        <w:t xml:space="preserve">Fund </w:t>
      </w:r>
      <w:r w:rsidRPr="00074C3B">
        <w:rPr>
          <w:b w:val="0"/>
        </w:rPr>
        <w:t>has entered into with counterparties thereby relieving a counterparty of the timely performance of the services such counterparties have co</w:t>
      </w:r>
      <w:r w:rsidR="00E30B6F">
        <w:rPr>
          <w:b w:val="0"/>
        </w:rPr>
        <w:t>ntracted to provide to the Fund</w:t>
      </w:r>
      <w:r w:rsidRPr="00074C3B">
        <w:rPr>
          <w:b w:val="0"/>
        </w:rPr>
        <w:t xml:space="preserve"> (the nature of the services will vary depending on the agreement in question).  </w:t>
      </w:r>
    </w:p>
    <w:p w:rsidR="00123495" w:rsidRPr="00123495" w:rsidRDefault="00123495" w:rsidP="00123495">
      <w:pPr>
        <w:pStyle w:val="ALGNo2"/>
      </w:pPr>
      <w:r w:rsidRPr="00123495">
        <w:rPr>
          <w:b/>
          <w:bCs/>
        </w:rPr>
        <w:t>Environmen</w:t>
      </w:r>
      <w:r>
        <w:rPr>
          <w:b/>
          <w:bCs/>
        </w:rPr>
        <w:t>tal, Social and Governance Risk</w:t>
      </w:r>
    </w:p>
    <w:p w:rsidR="00123495" w:rsidRPr="00123495" w:rsidRDefault="00123495" w:rsidP="00123495">
      <w:pPr>
        <w:pStyle w:val="ALGNo2"/>
        <w:numPr>
          <w:ilvl w:val="0"/>
          <w:numId w:val="0"/>
        </w:numPr>
        <w:ind w:left="624"/>
      </w:pPr>
      <w:r w:rsidRPr="00123495">
        <w:t>The Fund intends to invest in securities of issuers that manage their ESG exposures better relative to their peers. This may affect the Fund’s exposure to certain issuers and cause the Fund to forego certain investment opportunities. The Fund may perform differently to other funds, including underperforming other funds that do not seek to invest in securities of issuers based on their ESG ratings.</w:t>
      </w:r>
    </w:p>
    <w:p w:rsidR="00F62139" w:rsidRPr="00FE2318" w:rsidRDefault="00F62139" w:rsidP="00F62139">
      <w:pPr>
        <w:pStyle w:val="ALGHd1"/>
      </w:pPr>
      <w:bookmarkStart w:id="22" w:name="_Ref510014463"/>
      <w:bookmarkStart w:id="23" w:name="_Toc13488214"/>
      <w:r w:rsidRPr="00FE2318">
        <w:t>Key information for purchasing and repurchasing</w:t>
      </w:r>
      <w:bookmarkEnd w:id="22"/>
      <w:bookmarkEnd w:id="23"/>
    </w:p>
    <w:p w:rsidR="00F62139" w:rsidRPr="00DC6729" w:rsidRDefault="00F62139" w:rsidP="00F62139">
      <w:pPr>
        <w:pStyle w:val="ALGHd2"/>
        <w:rPr>
          <w:lang w:val="en-GB"/>
        </w:rPr>
      </w:pPr>
      <w:bookmarkStart w:id="24" w:name="_Ref510014464"/>
      <w:r w:rsidRPr="00DC6729">
        <w:t>Classes of Shares</w:t>
      </w:r>
      <w:bookmarkEnd w:id="24"/>
    </w:p>
    <w:p w:rsidR="00F62139" w:rsidRDefault="00F62139" w:rsidP="00F62139">
      <w:pPr>
        <w:pStyle w:val="Body2ALG"/>
      </w:pPr>
      <w:r w:rsidRPr="00DC6729">
        <w:t>The following classes of shares are currently available for subscription:</w:t>
      </w:r>
    </w:p>
    <w:tbl>
      <w:tblPr>
        <w:tblStyle w:val="TableGrid11"/>
        <w:tblW w:w="0" w:type="auto"/>
        <w:tblInd w:w="675" w:type="dxa"/>
        <w:tblLook w:val="04A0" w:firstRow="1" w:lastRow="0" w:firstColumn="1" w:lastColumn="0" w:noHBand="0" w:noVBand="1"/>
      </w:tblPr>
      <w:tblGrid>
        <w:gridCol w:w="4395"/>
      </w:tblGrid>
      <w:tr w:rsidR="00F62139" w:rsidTr="00915CF2">
        <w:tc>
          <w:tcPr>
            <w:tcW w:w="4395" w:type="dxa"/>
            <w:tcBorders>
              <w:top w:val="single" w:sz="4" w:space="0" w:color="auto"/>
              <w:left w:val="single" w:sz="4" w:space="0" w:color="auto"/>
              <w:bottom w:val="single" w:sz="4" w:space="0" w:color="auto"/>
              <w:right w:val="single" w:sz="4" w:space="0" w:color="auto"/>
            </w:tcBorders>
            <w:hideMark/>
          </w:tcPr>
          <w:p w:rsidR="00F62139" w:rsidRDefault="00F62139" w:rsidP="00AD02FF">
            <w:pPr>
              <w:pStyle w:val="ALGNo3"/>
              <w:numPr>
                <w:ilvl w:val="0"/>
                <w:numId w:val="0"/>
              </w:numPr>
              <w:rPr>
                <w:lang w:val="en-GB"/>
              </w:rPr>
            </w:pPr>
            <w:bookmarkStart w:id="25" w:name="_Ref510014465"/>
            <w:r>
              <w:t>Class A Inc Sterling Shares</w:t>
            </w:r>
            <w:bookmarkEnd w:id="25"/>
          </w:p>
        </w:tc>
      </w:tr>
      <w:tr w:rsidR="00F62139" w:rsidTr="00915CF2">
        <w:tc>
          <w:tcPr>
            <w:tcW w:w="4395" w:type="dxa"/>
            <w:tcBorders>
              <w:top w:val="single" w:sz="4" w:space="0" w:color="auto"/>
              <w:left w:val="single" w:sz="4" w:space="0" w:color="auto"/>
              <w:bottom w:val="single" w:sz="4" w:space="0" w:color="auto"/>
              <w:right w:val="single" w:sz="4" w:space="0" w:color="auto"/>
            </w:tcBorders>
            <w:hideMark/>
          </w:tcPr>
          <w:p w:rsidR="00F62139" w:rsidRDefault="00F62139" w:rsidP="00AD02FF">
            <w:pPr>
              <w:pStyle w:val="ALGNo3"/>
              <w:numPr>
                <w:ilvl w:val="0"/>
                <w:numId w:val="0"/>
              </w:numPr>
            </w:pPr>
            <w:bookmarkStart w:id="26" w:name="_Ref510014466"/>
            <w:r>
              <w:t>Class A Acc Sterling Shares</w:t>
            </w:r>
            <w:bookmarkEnd w:id="26"/>
          </w:p>
        </w:tc>
      </w:tr>
      <w:tr w:rsidR="00F62139" w:rsidTr="00915CF2">
        <w:tc>
          <w:tcPr>
            <w:tcW w:w="4395" w:type="dxa"/>
            <w:tcBorders>
              <w:top w:val="single" w:sz="4" w:space="0" w:color="auto"/>
              <w:left w:val="single" w:sz="4" w:space="0" w:color="auto"/>
              <w:bottom w:val="single" w:sz="4" w:space="0" w:color="auto"/>
              <w:right w:val="single" w:sz="4" w:space="0" w:color="auto"/>
            </w:tcBorders>
            <w:hideMark/>
          </w:tcPr>
          <w:p w:rsidR="00F62139" w:rsidRDefault="00F62139" w:rsidP="00AD02FF">
            <w:pPr>
              <w:pStyle w:val="Body3ALG"/>
              <w:ind w:left="0"/>
            </w:pPr>
            <w:bookmarkStart w:id="27" w:name="_Ref510014467"/>
            <w:r>
              <w:t>Class B Inc Sterling Shares</w:t>
            </w:r>
            <w:bookmarkEnd w:id="27"/>
          </w:p>
        </w:tc>
      </w:tr>
      <w:tr w:rsidR="00F62139" w:rsidTr="00915CF2">
        <w:tc>
          <w:tcPr>
            <w:tcW w:w="4395" w:type="dxa"/>
            <w:tcBorders>
              <w:top w:val="single" w:sz="4" w:space="0" w:color="auto"/>
              <w:left w:val="single" w:sz="4" w:space="0" w:color="auto"/>
              <w:bottom w:val="single" w:sz="4" w:space="0" w:color="auto"/>
              <w:right w:val="single" w:sz="4" w:space="0" w:color="auto"/>
            </w:tcBorders>
            <w:hideMark/>
          </w:tcPr>
          <w:p w:rsidR="00F62139" w:rsidRDefault="00F62139" w:rsidP="00AD02FF">
            <w:bookmarkStart w:id="28" w:name="_Ref510014468"/>
            <w:r>
              <w:t>Class B Acc Sterling Shares</w:t>
            </w:r>
            <w:bookmarkEnd w:id="28"/>
          </w:p>
        </w:tc>
      </w:tr>
    </w:tbl>
    <w:p w:rsidR="00915CF2" w:rsidRPr="00915CF2" w:rsidRDefault="00915CF2" w:rsidP="00915CF2">
      <w:pPr>
        <w:pStyle w:val="ALGHd2"/>
        <w:numPr>
          <w:ilvl w:val="0"/>
          <w:numId w:val="0"/>
        </w:numPr>
        <w:ind w:left="624"/>
        <w:rPr>
          <w:b w:val="0"/>
        </w:rPr>
      </w:pPr>
      <w:r w:rsidRPr="00915CF2">
        <w:rPr>
          <w:b w:val="0"/>
        </w:rPr>
        <w:t xml:space="preserve">Shares in the C Acc Sterling Share Class are no longer available </w:t>
      </w:r>
      <w:r w:rsidR="00766E50">
        <w:rPr>
          <w:b w:val="0"/>
        </w:rPr>
        <w:t xml:space="preserve">to new investors </w:t>
      </w:r>
      <w:r w:rsidRPr="00915CF2">
        <w:rPr>
          <w:b w:val="0"/>
        </w:rPr>
        <w:t>for subscription.</w:t>
      </w:r>
    </w:p>
    <w:p w:rsidR="00F62139" w:rsidRPr="00DC6729" w:rsidRDefault="00F62139" w:rsidP="00F62139">
      <w:pPr>
        <w:pStyle w:val="ALGHd2"/>
      </w:pPr>
      <w:r>
        <w:t>How to buy Shares</w:t>
      </w:r>
    </w:p>
    <w:p w:rsidR="00F62139" w:rsidRPr="00DC6729" w:rsidRDefault="00F62139" w:rsidP="00F62139">
      <w:pPr>
        <w:pStyle w:val="Body2ALG"/>
      </w:pPr>
      <w:r w:rsidRPr="005C7924">
        <w:t xml:space="preserve">The </w:t>
      </w:r>
      <w:bookmarkStart w:id="29" w:name="_GoBack"/>
      <w:r w:rsidRPr="005C7924">
        <w:t>Initial</w:t>
      </w:r>
      <w:bookmarkEnd w:id="29"/>
      <w:r w:rsidRPr="005C7924">
        <w:t xml:space="preserve"> Offer Period for the Class A, Class B, </w:t>
      </w:r>
      <w:r w:rsidR="006D48F0">
        <w:t xml:space="preserve">and </w:t>
      </w:r>
      <w:r w:rsidRPr="005C7924">
        <w:t>Class C closed on 1 March 2019. These shares classes are continuously available for subscription at the NAV per Share on each Dealing Day.</w:t>
      </w:r>
    </w:p>
    <w:p w:rsidR="00F62139" w:rsidRPr="00DC6729" w:rsidRDefault="00F62139" w:rsidP="00F62139">
      <w:pPr>
        <w:pStyle w:val="ALGHd2"/>
      </w:pPr>
      <w:r w:rsidRPr="00DC6729">
        <w:t xml:space="preserve">Base </w:t>
      </w:r>
      <w:r>
        <w:t>c</w:t>
      </w:r>
      <w:r w:rsidRPr="00DC6729">
        <w:t>urrency</w:t>
      </w:r>
    </w:p>
    <w:p w:rsidR="00F62139" w:rsidRPr="00DC6729" w:rsidRDefault="00F62139" w:rsidP="00F62139">
      <w:pPr>
        <w:pStyle w:val="Body2ALG"/>
      </w:pPr>
      <w:r w:rsidRPr="00DC6729">
        <w:t>Sterling</w:t>
      </w:r>
    </w:p>
    <w:p w:rsidR="00F62139" w:rsidRPr="00DC6729" w:rsidRDefault="00F62139" w:rsidP="00F62139">
      <w:pPr>
        <w:pStyle w:val="ALGHd2"/>
      </w:pPr>
      <w:r w:rsidRPr="00DC6729">
        <w:t>Business Day and Dealing Day</w:t>
      </w:r>
    </w:p>
    <w:p w:rsidR="00F62139" w:rsidRPr="00DC6729" w:rsidRDefault="00F62139" w:rsidP="00F62139">
      <w:pPr>
        <w:pStyle w:val="Body2ALG"/>
      </w:pPr>
      <w:r w:rsidRPr="00DC6729">
        <w:t>A day on which banks in both Dublin and London are open for normal business.</w:t>
      </w:r>
    </w:p>
    <w:p w:rsidR="00F62139" w:rsidRPr="00DC6729" w:rsidRDefault="00F62139" w:rsidP="00F62139">
      <w:pPr>
        <w:pStyle w:val="ALGHd2"/>
      </w:pPr>
      <w:r w:rsidRPr="00DC6729">
        <w:t>Dealing Deadline</w:t>
      </w:r>
    </w:p>
    <w:p w:rsidR="00F62139" w:rsidRPr="00DC6729" w:rsidRDefault="00F62139" w:rsidP="00F62139">
      <w:pPr>
        <w:pStyle w:val="Body2ALG"/>
      </w:pPr>
      <w:r>
        <w:t>11.59am</w:t>
      </w:r>
      <w:r w:rsidRPr="00DC6729">
        <w:t xml:space="preserve"> (Irish time) on each Dealing Day.</w:t>
      </w:r>
    </w:p>
    <w:p w:rsidR="00F62139" w:rsidRPr="00DC6729" w:rsidRDefault="00F62139" w:rsidP="00F62139">
      <w:pPr>
        <w:pStyle w:val="ALGHd2"/>
      </w:pPr>
      <w:r w:rsidRPr="00DC6729">
        <w:t xml:space="preserve">Minimum </w:t>
      </w:r>
      <w:r>
        <w:t>Fund</w:t>
      </w:r>
      <w:r w:rsidRPr="00DC6729">
        <w:t xml:space="preserve"> Size</w:t>
      </w:r>
    </w:p>
    <w:p w:rsidR="00F62139" w:rsidRDefault="00F62139" w:rsidP="00F62139">
      <w:pPr>
        <w:pStyle w:val="Body2ALG"/>
      </w:pPr>
      <w:r w:rsidRPr="00DC6729">
        <w:t>Stg£1,000,000 or such other amount as the Directors may determine.</w:t>
      </w:r>
      <w:r>
        <w:t xml:space="preserve"> The Minimum Fund Size shall apply on an ongoing basis following the Launch Date.</w:t>
      </w:r>
    </w:p>
    <w:p w:rsidR="00F62139" w:rsidRPr="00DC6729" w:rsidRDefault="00F62139" w:rsidP="00F62139">
      <w:pPr>
        <w:pStyle w:val="Body2ALG"/>
      </w:pPr>
      <w:r w:rsidRPr="00E63155">
        <w:t xml:space="preserve">The </w:t>
      </w:r>
      <w:r>
        <w:t xml:space="preserve">Directors </w:t>
      </w:r>
      <w:r w:rsidRPr="00E63155">
        <w:t xml:space="preserve">may compulsorily repurchase all of the Shares of </w:t>
      </w:r>
      <w:r>
        <w:t xml:space="preserve">the </w:t>
      </w:r>
      <w:r w:rsidRPr="00E63155">
        <w:t>Fund if the Net Asset Value of the relevant Fund is less than the Minimum Fund Siz</w:t>
      </w:r>
      <w:r>
        <w:t>e</w:t>
      </w:r>
      <w:r w:rsidRPr="00E63155">
        <w:t>.</w:t>
      </w:r>
    </w:p>
    <w:p w:rsidR="00F62139" w:rsidRPr="00DC6729" w:rsidRDefault="00F62139" w:rsidP="00F62139">
      <w:pPr>
        <w:pStyle w:val="ALGHd2"/>
      </w:pPr>
      <w:r w:rsidRPr="00DC6729">
        <w:lastRenderedPageBreak/>
        <w:t xml:space="preserve">Reporting </w:t>
      </w:r>
      <w:r>
        <w:t>T</w:t>
      </w:r>
      <w:r w:rsidRPr="00DC6729">
        <w:t xml:space="preserve">ax </w:t>
      </w:r>
      <w:r>
        <w:t>S</w:t>
      </w:r>
      <w:r w:rsidRPr="00DC6729">
        <w:t>tatus</w:t>
      </w:r>
    </w:p>
    <w:p w:rsidR="00F62139" w:rsidRPr="00DC6729" w:rsidRDefault="00F62139" w:rsidP="00F62139">
      <w:pPr>
        <w:pStyle w:val="Body2ALG"/>
      </w:pPr>
      <w:r w:rsidRPr="00DC6729">
        <w:t xml:space="preserve">It is the Directors' intention to apply annually to the UK Revenue for UK Reporting Tax Status for the </w:t>
      </w:r>
      <w:r>
        <w:t>Fund</w:t>
      </w:r>
      <w:r w:rsidRPr="00DC6729">
        <w:t>.</w:t>
      </w:r>
      <w:r>
        <w:t xml:space="preserve"> </w:t>
      </w:r>
    </w:p>
    <w:p w:rsidR="00F62139" w:rsidRPr="00DC6729" w:rsidRDefault="00F62139" w:rsidP="00F62139">
      <w:pPr>
        <w:pStyle w:val="ALGHd2"/>
      </w:pPr>
      <w:r w:rsidRPr="00DC6729">
        <w:t>Settlement Date</w:t>
      </w:r>
    </w:p>
    <w:p w:rsidR="00F62139" w:rsidRPr="00DC6729" w:rsidRDefault="00F62139" w:rsidP="00F62139">
      <w:pPr>
        <w:pStyle w:val="Body2ALG"/>
      </w:pPr>
      <w:r w:rsidRPr="00DC6729">
        <w:t>In the case of subscription(s) cleared funds must be received on or before the third Business Day following the relevant Dealing Day.</w:t>
      </w:r>
    </w:p>
    <w:p w:rsidR="00F62139" w:rsidRPr="00DC6729" w:rsidRDefault="00F62139" w:rsidP="00F62139">
      <w:pPr>
        <w:pStyle w:val="Body2ALG"/>
      </w:pPr>
      <w:r w:rsidRPr="00DC6729">
        <w:t xml:space="preserve">In the case of repurchase, proceeds will usually be paid (by wire transfer to a specified account at the shareholder's risk and expense or by negotiable instrument) within three Business Days </w:t>
      </w:r>
      <w:r>
        <w:t xml:space="preserve">of </w:t>
      </w:r>
      <w:r w:rsidRPr="00DC6729">
        <w:t>the relevant Dealing Day.</w:t>
      </w:r>
    </w:p>
    <w:p w:rsidR="00F62139" w:rsidRPr="00DC6729" w:rsidRDefault="00F62139" w:rsidP="00F62139">
      <w:pPr>
        <w:pStyle w:val="ALGHd2"/>
      </w:pPr>
      <w:r w:rsidRPr="00DC6729">
        <w:t>Valuation Point</w:t>
      </w:r>
    </w:p>
    <w:p w:rsidR="00F62139" w:rsidRDefault="00F62139" w:rsidP="00F62139">
      <w:pPr>
        <w:pStyle w:val="Body2ALG"/>
      </w:pPr>
      <w:r w:rsidRPr="00DC6729">
        <w:t>Noon (Irish time) on each Dealing Day.</w:t>
      </w:r>
      <w:r>
        <w:t xml:space="preserve"> </w:t>
      </w:r>
    </w:p>
    <w:p w:rsidR="00F62139" w:rsidRPr="00DC6729" w:rsidRDefault="00F62139" w:rsidP="00F62139">
      <w:pPr>
        <w:pStyle w:val="Body2ALG"/>
      </w:pPr>
      <w:r w:rsidRPr="00CE6CE3">
        <w:t>Assets quoted, listed or dealt in on a Regulated Market shall be valued at the closing or last known market price available to the Directors or the Manager as at the Valuation Point for the relevant Dealing Day.</w:t>
      </w:r>
      <w:r>
        <w:t xml:space="preserve"> </w:t>
      </w:r>
      <w:r w:rsidRPr="00CE6CE3">
        <w:t>The closing or last known market price available shall b</w:t>
      </w:r>
      <w:r>
        <w:t xml:space="preserve">e the latest mid-market price </w:t>
      </w:r>
      <w:r w:rsidRPr="00055312">
        <w:t>(or the closing mid-market price on the previous Business Day where no latest mid-market price is available).</w:t>
      </w:r>
    </w:p>
    <w:p w:rsidR="00F62139" w:rsidRPr="00DC6729" w:rsidRDefault="00F62139" w:rsidP="00F62139">
      <w:pPr>
        <w:pStyle w:val="ALGHd2"/>
      </w:pPr>
      <w:r w:rsidRPr="00DC6729">
        <w:t>Income Equalisation</w:t>
      </w:r>
    </w:p>
    <w:p w:rsidR="00F62139" w:rsidRDefault="00F62139" w:rsidP="00F62139">
      <w:pPr>
        <w:pStyle w:val="Body2ALG"/>
      </w:pPr>
      <w:r w:rsidRPr="00DC6729">
        <w:t xml:space="preserve">Income Equalisation will be applied to the </w:t>
      </w:r>
      <w:r>
        <w:t xml:space="preserve">Fund as described in section </w:t>
      </w:r>
      <w:r>
        <w:fldChar w:fldCharType="begin"/>
      </w:r>
      <w:r>
        <w:instrText xml:space="preserve"> REF _Ref510014477 \r \h </w:instrText>
      </w:r>
      <w:r>
        <w:fldChar w:fldCharType="separate"/>
      </w:r>
      <w:r w:rsidR="0061570B">
        <w:t>14</w:t>
      </w:r>
      <w:r>
        <w:fldChar w:fldCharType="end"/>
      </w:r>
      <w:r>
        <w:t>.</w:t>
      </w:r>
    </w:p>
    <w:p w:rsidR="00F62139" w:rsidRDefault="00F62139" w:rsidP="00F62139">
      <w:pPr>
        <w:pStyle w:val="ALGHd2"/>
      </w:pPr>
      <w:r>
        <w:t>Preliminary Charge</w:t>
      </w:r>
    </w:p>
    <w:p w:rsidR="00F62139" w:rsidRDefault="00F62139" w:rsidP="00F62139">
      <w:pPr>
        <w:pStyle w:val="ALGNo2"/>
        <w:numPr>
          <w:ilvl w:val="0"/>
          <w:numId w:val="0"/>
        </w:numPr>
        <w:ind w:left="624"/>
      </w:pPr>
      <w:r>
        <w:t>Nil.</w:t>
      </w:r>
    </w:p>
    <w:p w:rsidR="00F62139" w:rsidRDefault="00F62139" w:rsidP="00F62139">
      <w:pPr>
        <w:pStyle w:val="ALGHd2"/>
      </w:pPr>
      <w:r w:rsidRPr="00A8507F">
        <w:t>Exchange Charge</w:t>
      </w:r>
    </w:p>
    <w:p w:rsidR="00F62139" w:rsidRPr="009019DD" w:rsidRDefault="00F62139" w:rsidP="00F62139">
      <w:pPr>
        <w:pStyle w:val="Body2ALG"/>
      </w:pPr>
      <w:r>
        <w:t>Nil</w:t>
      </w:r>
    </w:p>
    <w:p w:rsidR="00F62139" w:rsidRDefault="00F62139" w:rsidP="00F62139">
      <w:pPr>
        <w:pStyle w:val="ALGHd2"/>
      </w:pPr>
      <w:r>
        <w:t xml:space="preserve">Repurchase </w:t>
      </w:r>
      <w:r w:rsidRPr="00A8507F">
        <w:t>Charge</w:t>
      </w:r>
    </w:p>
    <w:p w:rsidR="00F62139" w:rsidRPr="009019DD" w:rsidRDefault="00F62139" w:rsidP="00F62139">
      <w:pPr>
        <w:pStyle w:val="Body2ALG"/>
      </w:pPr>
      <w:r>
        <w:t>Nil.</w:t>
      </w:r>
    </w:p>
    <w:p w:rsidR="00F62139" w:rsidRPr="00DC6729" w:rsidRDefault="00F62139" w:rsidP="00F62139">
      <w:pPr>
        <w:pStyle w:val="ALGHd2"/>
      </w:pPr>
      <w:r w:rsidRPr="00DC6729">
        <w:t>Minimum Initial Subscription, Minimum Additional Subscription and Minimum Holding Amounts</w:t>
      </w:r>
    </w:p>
    <w:p w:rsidR="00F62139" w:rsidRPr="00DC6729" w:rsidRDefault="00F62139" w:rsidP="00F62139">
      <w:pPr>
        <w:pStyle w:val="Body2ALG"/>
      </w:pPr>
      <w:r w:rsidRPr="00DC6729">
        <w:t>The minimum initial subscription amounts, the minimum additional subscription amounts and the minimum holding amounts are as follows:</w:t>
      </w:r>
    </w:p>
    <w:tbl>
      <w:tblPr>
        <w:tblStyle w:val="TableGrid"/>
        <w:tblW w:w="9090" w:type="dxa"/>
        <w:tblInd w:w="730" w:type="dxa"/>
        <w:tblLayout w:type="fixed"/>
        <w:tblLook w:val="00A0" w:firstRow="1" w:lastRow="0" w:firstColumn="1" w:lastColumn="0" w:noHBand="0" w:noVBand="0"/>
      </w:tblPr>
      <w:tblGrid>
        <w:gridCol w:w="1505"/>
        <w:gridCol w:w="2453"/>
        <w:gridCol w:w="3119"/>
        <w:gridCol w:w="2013"/>
      </w:tblGrid>
      <w:tr w:rsidR="00F62139" w:rsidRPr="00DC6729" w:rsidTr="00DF4212">
        <w:trPr>
          <w:cnfStyle w:val="100000000000" w:firstRow="1" w:lastRow="0" w:firstColumn="0" w:lastColumn="0" w:oddVBand="0" w:evenVBand="0" w:oddHBand="0" w:evenHBand="0" w:firstRowFirstColumn="0" w:firstRowLastColumn="0" w:lastRowFirstColumn="0" w:lastRowLastColumn="0"/>
          <w:trHeight w:val="738"/>
        </w:trPr>
        <w:tc>
          <w:tcPr>
            <w:tcW w:w="1505" w:type="dxa"/>
          </w:tcPr>
          <w:p w:rsidR="00F62139" w:rsidRPr="00DC6729" w:rsidRDefault="00F62139" w:rsidP="00AD02FF">
            <w:pPr>
              <w:spacing w:before="60" w:after="60"/>
              <w:rPr>
                <w:rFonts w:cs="Arial"/>
                <w:b/>
                <w:bCs/>
              </w:rPr>
            </w:pPr>
            <w:r w:rsidRPr="00DC6729">
              <w:rPr>
                <w:rFonts w:cs="Arial"/>
                <w:b/>
                <w:bCs/>
              </w:rPr>
              <w:t>Class</w:t>
            </w:r>
          </w:p>
        </w:tc>
        <w:tc>
          <w:tcPr>
            <w:tcW w:w="2453" w:type="dxa"/>
          </w:tcPr>
          <w:p w:rsidR="00F62139" w:rsidRPr="00DC6729" w:rsidRDefault="00F62139" w:rsidP="00AD02FF">
            <w:pPr>
              <w:spacing w:before="60" w:after="60"/>
              <w:jc w:val="center"/>
              <w:rPr>
                <w:rFonts w:cs="Arial"/>
                <w:b/>
                <w:bCs/>
              </w:rPr>
            </w:pPr>
            <w:r w:rsidRPr="00DC6729">
              <w:rPr>
                <w:rFonts w:cs="Arial"/>
                <w:b/>
                <w:bCs/>
              </w:rPr>
              <w:t>Minimum Initial Subscription Amount</w:t>
            </w:r>
          </w:p>
        </w:tc>
        <w:tc>
          <w:tcPr>
            <w:tcW w:w="3119" w:type="dxa"/>
          </w:tcPr>
          <w:p w:rsidR="00F62139" w:rsidRPr="00DC6729" w:rsidRDefault="00F62139" w:rsidP="00AD02FF">
            <w:pPr>
              <w:spacing w:before="60" w:after="60"/>
              <w:jc w:val="center"/>
              <w:rPr>
                <w:rFonts w:cs="Arial"/>
                <w:b/>
                <w:bCs/>
              </w:rPr>
            </w:pPr>
            <w:r w:rsidRPr="00DC6729">
              <w:rPr>
                <w:rFonts w:cs="Arial"/>
                <w:b/>
                <w:bCs/>
              </w:rPr>
              <w:t>Minimum Additional Subscription Amount</w:t>
            </w:r>
          </w:p>
        </w:tc>
        <w:tc>
          <w:tcPr>
            <w:tcW w:w="2013" w:type="dxa"/>
          </w:tcPr>
          <w:p w:rsidR="00F62139" w:rsidRPr="00DC6729" w:rsidRDefault="00F62139" w:rsidP="00AD02FF">
            <w:pPr>
              <w:spacing w:before="60" w:after="60"/>
              <w:jc w:val="center"/>
              <w:rPr>
                <w:rFonts w:cs="Arial"/>
                <w:b/>
                <w:bCs/>
              </w:rPr>
            </w:pPr>
            <w:r w:rsidRPr="00DC6729">
              <w:rPr>
                <w:rFonts w:cs="Arial"/>
                <w:b/>
                <w:bCs/>
              </w:rPr>
              <w:t>Minimum Holding Amount</w:t>
            </w:r>
          </w:p>
        </w:tc>
      </w:tr>
      <w:tr w:rsidR="00F62139" w:rsidRPr="00DC6729" w:rsidTr="00DF4212">
        <w:trPr>
          <w:trHeight w:val="251"/>
        </w:trPr>
        <w:tc>
          <w:tcPr>
            <w:tcW w:w="1505" w:type="dxa"/>
          </w:tcPr>
          <w:p w:rsidR="00F62139" w:rsidRPr="00DC6729" w:rsidRDefault="00F62139" w:rsidP="00AD02FF">
            <w:pPr>
              <w:spacing w:before="60" w:after="60"/>
              <w:jc w:val="left"/>
              <w:rPr>
                <w:rFonts w:cs="Arial"/>
              </w:rPr>
            </w:pPr>
            <w:r w:rsidRPr="00DC6729">
              <w:rPr>
                <w:rFonts w:cs="Arial"/>
              </w:rPr>
              <w:t xml:space="preserve">Class A </w:t>
            </w:r>
            <w:r w:rsidR="00357733">
              <w:rPr>
                <w:rFonts w:cs="Arial"/>
              </w:rPr>
              <w:t>Income and Acc Classes</w:t>
            </w:r>
          </w:p>
        </w:tc>
        <w:tc>
          <w:tcPr>
            <w:tcW w:w="2453" w:type="dxa"/>
          </w:tcPr>
          <w:p w:rsidR="00F62139" w:rsidRPr="00DC6729" w:rsidRDefault="00F62139" w:rsidP="00AD02FF">
            <w:pPr>
              <w:spacing w:before="60" w:after="60"/>
              <w:jc w:val="center"/>
              <w:rPr>
                <w:rFonts w:cs="Arial"/>
              </w:rPr>
            </w:pPr>
            <w:r w:rsidRPr="00DC6729">
              <w:rPr>
                <w:rFonts w:cs="Arial"/>
              </w:rPr>
              <w:t>£1,000</w:t>
            </w:r>
          </w:p>
        </w:tc>
        <w:tc>
          <w:tcPr>
            <w:tcW w:w="3119" w:type="dxa"/>
          </w:tcPr>
          <w:p w:rsidR="00F62139" w:rsidRPr="00DC6729" w:rsidRDefault="00F62139" w:rsidP="00AD02FF">
            <w:pPr>
              <w:spacing w:before="60" w:after="60"/>
              <w:jc w:val="center"/>
              <w:rPr>
                <w:rFonts w:cs="Arial"/>
              </w:rPr>
            </w:pPr>
            <w:r w:rsidRPr="00DC6729">
              <w:rPr>
                <w:rFonts w:cs="Arial"/>
              </w:rPr>
              <w:t>£100</w:t>
            </w:r>
          </w:p>
        </w:tc>
        <w:tc>
          <w:tcPr>
            <w:tcW w:w="2013" w:type="dxa"/>
          </w:tcPr>
          <w:p w:rsidR="00F62139" w:rsidRPr="00DC6729" w:rsidRDefault="00F62139" w:rsidP="00AD02FF">
            <w:pPr>
              <w:spacing w:before="60" w:after="60"/>
              <w:jc w:val="center"/>
              <w:rPr>
                <w:rFonts w:cs="Arial"/>
              </w:rPr>
            </w:pPr>
            <w:r w:rsidRPr="00DC6729">
              <w:rPr>
                <w:rFonts w:cs="Arial"/>
              </w:rPr>
              <w:t>£1,000</w:t>
            </w:r>
          </w:p>
        </w:tc>
      </w:tr>
      <w:tr w:rsidR="00F62139" w:rsidRPr="00DC6729" w:rsidTr="00DF4212">
        <w:trPr>
          <w:trHeight w:val="300"/>
        </w:trPr>
        <w:tc>
          <w:tcPr>
            <w:tcW w:w="1505" w:type="dxa"/>
          </w:tcPr>
          <w:p w:rsidR="00F62139" w:rsidRPr="00DC6729" w:rsidRDefault="00F62139" w:rsidP="00AD02FF">
            <w:pPr>
              <w:spacing w:before="60" w:after="60"/>
              <w:jc w:val="left"/>
              <w:rPr>
                <w:rFonts w:cs="Arial"/>
              </w:rPr>
            </w:pPr>
            <w:r w:rsidRPr="00DC6729">
              <w:rPr>
                <w:rFonts w:cs="Arial"/>
              </w:rPr>
              <w:t>Class B</w:t>
            </w:r>
            <w:r w:rsidR="00357733">
              <w:rPr>
                <w:rFonts w:cs="Arial"/>
              </w:rPr>
              <w:t xml:space="preserve"> Income and Acc Classes</w:t>
            </w:r>
            <w:r w:rsidRPr="00DC6729">
              <w:rPr>
                <w:rFonts w:cs="Arial"/>
              </w:rPr>
              <w:t xml:space="preserve"> </w:t>
            </w:r>
          </w:p>
        </w:tc>
        <w:tc>
          <w:tcPr>
            <w:tcW w:w="2453" w:type="dxa"/>
          </w:tcPr>
          <w:p w:rsidR="00F62139" w:rsidRPr="00DC6729" w:rsidRDefault="00F62139" w:rsidP="00AD02FF">
            <w:pPr>
              <w:spacing w:before="60" w:after="60"/>
              <w:jc w:val="center"/>
              <w:rPr>
                <w:rFonts w:cs="Arial"/>
              </w:rPr>
            </w:pPr>
            <w:r w:rsidRPr="00DC6729">
              <w:rPr>
                <w:rFonts w:cs="Arial"/>
              </w:rPr>
              <w:t>£250,000</w:t>
            </w:r>
          </w:p>
        </w:tc>
        <w:tc>
          <w:tcPr>
            <w:tcW w:w="3119" w:type="dxa"/>
          </w:tcPr>
          <w:p w:rsidR="00F62139" w:rsidRPr="00DC6729" w:rsidRDefault="00F62139" w:rsidP="00AD02FF">
            <w:pPr>
              <w:spacing w:before="60" w:after="60"/>
              <w:jc w:val="center"/>
              <w:rPr>
                <w:rFonts w:cs="Arial"/>
              </w:rPr>
            </w:pPr>
            <w:r w:rsidRPr="00DC6729">
              <w:rPr>
                <w:rFonts w:cs="Arial"/>
              </w:rPr>
              <w:t>£1,000</w:t>
            </w:r>
          </w:p>
        </w:tc>
        <w:tc>
          <w:tcPr>
            <w:tcW w:w="2013" w:type="dxa"/>
          </w:tcPr>
          <w:p w:rsidR="00F62139" w:rsidRPr="00DC6729" w:rsidRDefault="00F62139" w:rsidP="00AD02FF">
            <w:pPr>
              <w:spacing w:before="60" w:after="60"/>
              <w:jc w:val="center"/>
              <w:rPr>
                <w:rFonts w:cs="Arial"/>
              </w:rPr>
            </w:pPr>
            <w:r w:rsidRPr="00DC6729">
              <w:rPr>
                <w:rFonts w:cs="Arial"/>
              </w:rPr>
              <w:t>None</w:t>
            </w:r>
          </w:p>
        </w:tc>
      </w:tr>
      <w:tr w:rsidR="00F62139" w:rsidRPr="00DC6729" w:rsidTr="00DF4212">
        <w:trPr>
          <w:trHeight w:val="300"/>
        </w:trPr>
        <w:tc>
          <w:tcPr>
            <w:tcW w:w="1505" w:type="dxa"/>
          </w:tcPr>
          <w:p w:rsidR="00F62139" w:rsidRPr="00DC6729" w:rsidRDefault="00F62139" w:rsidP="00357733">
            <w:pPr>
              <w:spacing w:before="60" w:after="60"/>
              <w:jc w:val="left"/>
              <w:rPr>
                <w:rFonts w:cs="Arial"/>
              </w:rPr>
            </w:pPr>
            <w:r w:rsidRPr="00DC6729">
              <w:rPr>
                <w:rFonts w:cs="Arial"/>
              </w:rPr>
              <w:t>Class C</w:t>
            </w:r>
            <w:r w:rsidR="00357733">
              <w:rPr>
                <w:rFonts w:cs="Arial"/>
              </w:rPr>
              <w:t xml:space="preserve"> Acc Class</w:t>
            </w:r>
            <w:r w:rsidRPr="00DC6729">
              <w:rPr>
                <w:rFonts w:cs="Arial"/>
              </w:rPr>
              <w:t xml:space="preserve"> </w:t>
            </w:r>
          </w:p>
        </w:tc>
        <w:tc>
          <w:tcPr>
            <w:tcW w:w="2453" w:type="dxa"/>
          </w:tcPr>
          <w:p w:rsidR="00F62139" w:rsidRPr="00DC6729" w:rsidRDefault="00DB08D2" w:rsidP="00AD02FF">
            <w:pPr>
              <w:spacing w:before="60" w:after="60"/>
              <w:jc w:val="center"/>
              <w:rPr>
                <w:rFonts w:cs="Arial"/>
              </w:rPr>
            </w:pPr>
            <w:r>
              <w:t>N</w:t>
            </w:r>
            <w:r w:rsidRPr="00915CF2">
              <w:t xml:space="preserve">o longer available </w:t>
            </w:r>
            <w:r>
              <w:t xml:space="preserve">to new investors </w:t>
            </w:r>
            <w:r w:rsidRPr="00915CF2">
              <w:t>for subscription</w:t>
            </w:r>
          </w:p>
        </w:tc>
        <w:tc>
          <w:tcPr>
            <w:tcW w:w="3119" w:type="dxa"/>
          </w:tcPr>
          <w:p w:rsidR="00F62139" w:rsidRPr="00DC6729" w:rsidRDefault="00F62139" w:rsidP="00AD02FF">
            <w:pPr>
              <w:spacing w:before="60" w:after="60"/>
              <w:jc w:val="center"/>
              <w:rPr>
                <w:rFonts w:cs="Arial"/>
              </w:rPr>
            </w:pPr>
            <w:r w:rsidRPr="00DC6729">
              <w:rPr>
                <w:rFonts w:cs="Arial"/>
              </w:rPr>
              <w:t>£50,000</w:t>
            </w:r>
          </w:p>
        </w:tc>
        <w:tc>
          <w:tcPr>
            <w:tcW w:w="2013" w:type="dxa"/>
          </w:tcPr>
          <w:p w:rsidR="00F62139" w:rsidRPr="00DC6729" w:rsidRDefault="00F62139" w:rsidP="00AD02FF">
            <w:pPr>
              <w:spacing w:before="60" w:after="60"/>
              <w:jc w:val="center"/>
              <w:rPr>
                <w:rFonts w:cs="Arial"/>
              </w:rPr>
            </w:pPr>
            <w:r w:rsidRPr="00DC6729">
              <w:rPr>
                <w:rFonts w:cs="Arial"/>
              </w:rPr>
              <w:t>None</w:t>
            </w:r>
          </w:p>
        </w:tc>
      </w:tr>
    </w:tbl>
    <w:p w:rsidR="00F62139" w:rsidRPr="00DC6729" w:rsidRDefault="00F62139" w:rsidP="00F62139">
      <w:pPr>
        <w:pStyle w:val="Body2ALG"/>
      </w:pPr>
      <w:r w:rsidRPr="00DC6729">
        <w:t>The Directors may for each relevant class of share waive such minimum initial subscription, minimum holding and minimum additional subscription amounts in their absolute discretion.</w:t>
      </w:r>
    </w:p>
    <w:p w:rsidR="00F62139" w:rsidRDefault="00F62139" w:rsidP="00F62139">
      <w:pPr>
        <w:pStyle w:val="Body2ALG"/>
      </w:pPr>
      <w:r w:rsidRPr="00DC6729">
        <w:lastRenderedPageBreak/>
        <w:t xml:space="preserve">In the case of a repurchase request which would have the effect of reducing the value of any holding of shares by any shareholder relating to any class of share below the minimum holding amount, the </w:t>
      </w:r>
      <w:r>
        <w:t>Directors</w:t>
      </w:r>
      <w:r w:rsidRPr="00DC6729">
        <w:t xml:space="preserve"> reserve the right to treat such request as a </w:t>
      </w:r>
      <w:r>
        <w:t>request to repurchase the S</w:t>
      </w:r>
      <w:r w:rsidRPr="00DC6729">
        <w:t>hareholder's entire holding.</w:t>
      </w:r>
    </w:p>
    <w:p w:rsidR="00F62139" w:rsidRDefault="00F62139" w:rsidP="00F62139">
      <w:pPr>
        <w:pStyle w:val="ALGHd2"/>
      </w:pPr>
      <w:r>
        <w:t>Account Period</w:t>
      </w:r>
    </w:p>
    <w:p w:rsidR="00F62139" w:rsidRPr="007564AB" w:rsidRDefault="00F62139" w:rsidP="00370764">
      <w:pPr>
        <w:pStyle w:val="Body2ALG"/>
      </w:pPr>
      <w:r>
        <w:t xml:space="preserve">The Accounting Date for the Fund is 31 December in each year. The half-yearly Accounting Date is 30 June in each year. </w:t>
      </w:r>
    </w:p>
    <w:p w:rsidR="00F62139" w:rsidRPr="00FE2318" w:rsidRDefault="00F62139" w:rsidP="00F62139">
      <w:pPr>
        <w:pStyle w:val="ALGHd1"/>
      </w:pPr>
      <w:bookmarkStart w:id="30" w:name="_Ref510014473"/>
      <w:bookmarkStart w:id="31" w:name="_Toc13488215"/>
      <w:r w:rsidRPr="00FE2318">
        <w:t>Purchases of shares</w:t>
      </w:r>
      <w:bookmarkEnd w:id="30"/>
      <w:bookmarkEnd w:id="31"/>
    </w:p>
    <w:p w:rsidR="00F62139" w:rsidRPr="00DC6729" w:rsidRDefault="00F62139" w:rsidP="00F62139">
      <w:pPr>
        <w:pStyle w:val="Body1ALG"/>
      </w:pPr>
      <w:r w:rsidRPr="00DC6729">
        <w:t xml:space="preserve">An application to purchase shares must be made on the </w:t>
      </w:r>
      <w:r>
        <w:t>A</w:t>
      </w:r>
      <w:r w:rsidRPr="00DC6729">
        <w:t xml:space="preserve">pplication </w:t>
      </w:r>
      <w:r>
        <w:t>F</w:t>
      </w:r>
      <w:r w:rsidRPr="00DC6729">
        <w:t xml:space="preserve">orm and be submitted to the Administrator by </w:t>
      </w:r>
      <w:r>
        <w:t xml:space="preserve">post, fax or other approved electronic means including email </w:t>
      </w:r>
      <w:r w:rsidRPr="00DC6729">
        <w:t>on or prior to the Dealing Deadline for the relevant Dealing Day</w:t>
      </w:r>
      <w:r>
        <w:t xml:space="preserve"> with supporting documentation in relation to anti-money laundering delivered to the Administrator promptly prior to the relevant Dealing Deadline</w:t>
      </w:r>
      <w:r w:rsidRPr="00DC6729">
        <w:t>.</w:t>
      </w:r>
      <w:r>
        <w:t xml:space="preserve"> F</w:t>
      </w:r>
      <w:r w:rsidRPr="00DC6729">
        <w:t xml:space="preserve">ollowing </w:t>
      </w:r>
      <w:r>
        <w:t xml:space="preserve">an </w:t>
      </w:r>
      <w:r w:rsidRPr="00DC6729">
        <w:t xml:space="preserve">initial subscription, subsequent subscriptions </w:t>
      </w:r>
      <w:r>
        <w:t xml:space="preserve">may </w:t>
      </w:r>
      <w:r w:rsidRPr="00DC6729">
        <w:t xml:space="preserve">be accepted </w:t>
      </w:r>
      <w:r>
        <w:t xml:space="preserve">by post, fax or other approved electronic means including email </w:t>
      </w:r>
      <w:r w:rsidRPr="00DC6729">
        <w:t>in such format or method as shall be agreed in writing in advance with the Administrator and subject to and in accordance with the requirements of the Administrator and the Central Bank.</w:t>
      </w:r>
      <w:r>
        <w:t xml:space="preserve"> </w:t>
      </w:r>
      <w:r w:rsidRPr="00DC6729">
        <w:t xml:space="preserve">Unless the </w:t>
      </w:r>
      <w:r>
        <w:t>ICAV</w:t>
      </w:r>
      <w:r w:rsidRPr="00DC6729">
        <w:t xml:space="preserve"> otherwise agrees, payment for shares in the </w:t>
      </w:r>
      <w:r>
        <w:t>Fund</w:t>
      </w:r>
      <w:r w:rsidRPr="00DC6729">
        <w:t xml:space="preserve"> must be received in cleared funds by the Settlement Date in the Base Currency.</w:t>
      </w:r>
    </w:p>
    <w:p w:rsidR="00F62139" w:rsidRPr="00DC6729" w:rsidRDefault="00F62139" w:rsidP="00F62139">
      <w:pPr>
        <w:pStyle w:val="Body1ALG"/>
      </w:pPr>
      <w:r w:rsidRPr="00DC6729">
        <w:t xml:space="preserve">For further information </w:t>
      </w:r>
      <w:r>
        <w:t>please read the section of the P</w:t>
      </w:r>
      <w:r w:rsidRPr="00DC6729">
        <w:t xml:space="preserve">rospectus entitled </w:t>
      </w:r>
      <w:r>
        <w:rPr>
          <w:b/>
        </w:rPr>
        <w:t>Subscription f</w:t>
      </w:r>
      <w:r w:rsidRPr="00DC6729">
        <w:rPr>
          <w:b/>
        </w:rPr>
        <w:t>or Shares</w:t>
      </w:r>
      <w:r w:rsidRPr="00DC6729">
        <w:t xml:space="preserve"> in the Prospectus.</w:t>
      </w:r>
    </w:p>
    <w:p w:rsidR="00F62139" w:rsidRPr="00FE2318" w:rsidRDefault="00F62139" w:rsidP="00F62139">
      <w:pPr>
        <w:pStyle w:val="ALGHd1"/>
      </w:pPr>
      <w:bookmarkStart w:id="32" w:name="_Ref510014474"/>
      <w:bookmarkStart w:id="33" w:name="_Toc13488216"/>
      <w:r w:rsidRPr="00FE2318">
        <w:t>Repurchases of shares</w:t>
      </w:r>
      <w:bookmarkEnd w:id="32"/>
      <w:bookmarkEnd w:id="33"/>
    </w:p>
    <w:p w:rsidR="00F62139" w:rsidRPr="00DC6729" w:rsidRDefault="00F62139" w:rsidP="00F62139">
      <w:pPr>
        <w:pStyle w:val="Body1ALG"/>
      </w:pPr>
      <w:r w:rsidRPr="00DC6729">
        <w:t xml:space="preserve">Requests for the repurchase of shares must be submitted to the Administrator by </w:t>
      </w:r>
      <w:r>
        <w:t xml:space="preserve">post, fax </w:t>
      </w:r>
      <w:r w:rsidRPr="004A447D">
        <w:t xml:space="preserve">or other approved electronic means including email </w:t>
      </w:r>
      <w:r>
        <w:t xml:space="preserve">by way of a signed repurchase application form </w:t>
      </w:r>
      <w:r w:rsidRPr="00DC6729">
        <w:t>on or prior to the Dealing Deadline for the relevant Dealing Day.</w:t>
      </w:r>
      <w:r>
        <w:t xml:space="preserve"> </w:t>
      </w:r>
      <w:r w:rsidRPr="00DC6729">
        <w:t xml:space="preserve">A repurchase request once </w:t>
      </w:r>
      <w:r>
        <w:t xml:space="preserve">received </w:t>
      </w:r>
      <w:r w:rsidRPr="00DC6729">
        <w:t>will not be capable of revocation without the consent of the Directors.</w:t>
      </w:r>
      <w:r>
        <w:t xml:space="preserve"> </w:t>
      </w:r>
      <w:r w:rsidRPr="00DC6729">
        <w:t xml:space="preserve">Payment of the proceeds of repurchase will only be made on receipt by the Administrator of </w:t>
      </w:r>
      <w:r>
        <w:t xml:space="preserve">all </w:t>
      </w:r>
      <w:r w:rsidRPr="00DC6729">
        <w:t>documentation required by the Administrator (including any documents in connection with anti-money laundering procedures) and the anti-</w:t>
      </w:r>
      <w:r>
        <w:t>money laundering procedures having</w:t>
      </w:r>
      <w:r w:rsidRPr="00DC6729">
        <w:t xml:space="preserve"> been completed.</w:t>
      </w:r>
    </w:p>
    <w:p w:rsidR="00F62139" w:rsidRPr="00DC6729" w:rsidRDefault="00F62139" w:rsidP="00F62139">
      <w:pPr>
        <w:pStyle w:val="Body1ALG"/>
      </w:pPr>
      <w:r w:rsidRPr="00DC6729">
        <w:t xml:space="preserve">For further information please read the section of the Prospectus entitled </w:t>
      </w:r>
      <w:r w:rsidRPr="00DC6729">
        <w:rPr>
          <w:b/>
        </w:rPr>
        <w:t>Repurchases of Shares</w:t>
      </w:r>
      <w:r w:rsidRPr="00DC6729">
        <w:t xml:space="preserve"> in the Prospectus.</w:t>
      </w:r>
    </w:p>
    <w:p w:rsidR="00F62139" w:rsidRPr="00FE2318" w:rsidRDefault="00F62139" w:rsidP="00F62139">
      <w:pPr>
        <w:pStyle w:val="ALGHd1"/>
      </w:pPr>
      <w:bookmarkStart w:id="34" w:name="_Ref510014475"/>
      <w:bookmarkStart w:id="35" w:name="_Toc13488217"/>
      <w:r w:rsidRPr="00FE2318">
        <w:t>Dividend policy</w:t>
      </w:r>
      <w:bookmarkEnd w:id="34"/>
      <w:bookmarkEnd w:id="35"/>
    </w:p>
    <w:p w:rsidR="003C3FB6" w:rsidRPr="003C3FB6" w:rsidRDefault="003C3FB6" w:rsidP="003C3FB6">
      <w:pPr>
        <w:pStyle w:val="ALGHd2"/>
        <w:numPr>
          <w:ilvl w:val="0"/>
          <w:numId w:val="0"/>
        </w:numPr>
        <w:ind w:left="624"/>
        <w:rPr>
          <w:b w:val="0"/>
        </w:rPr>
      </w:pPr>
      <w:r w:rsidRPr="003C3FB6">
        <w:rPr>
          <w:b w:val="0"/>
        </w:rPr>
        <w:t>The Fund offers classes of Shares that accumulate income or pay dividends out of net income or on occasio</w:t>
      </w:r>
      <w:r>
        <w:rPr>
          <w:b w:val="0"/>
        </w:rPr>
        <w:t>n, make payments out of capital.</w:t>
      </w:r>
      <w:r w:rsidRPr="003C3FB6">
        <w:rPr>
          <w:b w:val="0"/>
        </w:rPr>
        <w:t xml:space="preserve"> </w:t>
      </w:r>
    </w:p>
    <w:p w:rsidR="00CD5FB7" w:rsidRPr="00CD5FB7" w:rsidRDefault="00CD5FB7" w:rsidP="00B66B6A">
      <w:pPr>
        <w:pStyle w:val="ALGHd2"/>
      </w:pPr>
      <w:r w:rsidRPr="00CD5FB7">
        <w:t>Distr</w:t>
      </w:r>
      <w:r>
        <w:t>i</w:t>
      </w:r>
      <w:r w:rsidRPr="00CD5FB7">
        <w:t>buting Classes</w:t>
      </w:r>
    </w:p>
    <w:p w:rsidR="005C463E" w:rsidRDefault="00F62139" w:rsidP="00F62139">
      <w:pPr>
        <w:pStyle w:val="Body1ALG"/>
        <w:rPr>
          <w:b/>
        </w:rPr>
      </w:pPr>
      <w:r>
        <w:t>T</w:t>
      </w:r>
      <w:r w:rsidRPr="00DC6729">
        <w:t xml:space="preserve">he Directors intend to declare a dividend twice a year in respect of </w:t>
      </w:r>
      <w:r>
        <w:t xml:space="preserve">the </w:t>
      </w:r>
      <w:r w:rsidRPr="0024042C">
        <w:t>Income Shares</w:t>
      </w:r>
      <w:r w:rsidRPr="00DC6729">
        <w:t>.</w:t>
      </w:r>
      <w:r>
        <w:t xml:space="preserve"> </w:t>
      </w:r>
      <w:r w:rsidRPr="00DC6729">
        <w:t xml:space="preserve">It is anticipated that dividends will be declared </w:t>
      </w:r>
      <w:r>
        <w:t xml:space="preserve">on the first Business Day </w:t>
      </w:r>
      <w:r w:rsidRPr="00DC6729">
        <w:t>in January and July each year</w:t>
      </w:r>
      <w:r w:rsidR="002104A0">
        <w:t xml:space="preserve"> </w:t>
      </w:r>
      <w:r w:rsidRPr="00DC6729">
        <w:t xml:space="preserve">from </w:t>
      </w:r>
      <w:r w:rsidR="002F74F3">
        <w:t xml:space="preserve">the </w:t>
      </w:r>
      <w:r w:rsidR="003405AA">
        <w:t xml:space="preserve">net income of the </w:t>
      </w:r>
      <w:r>
        <w:t>Fund</w:t>
      </w:r>
      <w:r w:rsidR="00CD5FB7">
        <w:t xml:space="preserve"> </w:t>
      </w:r>
      <w:r w:rsidRPr="00DC6729">
        <w:t>for the preceding financial half-year</w:t>
      </w:r>
      <w:r>
        <w:t xml:space="preserve"> attributable to the </w:t>
      </w:r>
      <w:r w:rsidRPr="00DC6729">
        <w:t>Income Shares</w:t>
      </w:r>
      <w:r w:rsidR="003405AA">
        <w:t>. The Directors may</w:t>
      </w:r>
      <w:r w:rsidR="00244E6F">
        <w:t xml:space="preserve">, on occasion, </w:t>
      </w:r>
      <w:r w:rsidR="003405AA">
        <w:t xml:space="preserve">determine that such dividends be paid from the capital of the Fund </w:t>
      </w:r>
      <w:r w:rsidR="00CD5FB7">
        <w:t>in order to preserve profits and income</w:t>
      </w:r>
      <w:r w:rsidRPr="00DC6729">
        <w:t>.</w:t>
      </w:r>
      <w:r>
        <w:t xml:space="preserve"> </w:t>
      </w:r>
    </w:p>
    <w:p w:rsidR="00F62139" w:rsidRDefault="00F62139" w:rsidP="00F62139">
      <w:pPr>
        <w:pStyle w:val="Body1ALG"/>
      </w:pPr>
      <w:r w:rsidRPr="00DC6729">
        <w:t xml:space="preserve">Dividends payable to </w:t>
      </w:r>
      <w:r>
        <w:t>S</w:t>
      </w:r>
      <w:r w:rsidRPr="00DC6729">
        <w:t xml:space="preserve">hareholders will be re-invested by subscription for additional shares in the </w:t>
      </w:r>
      <w:r>
        <w:t>Fund</w:t>
      </w:r>
      <w:r w:rsidRPr="00DC6729">
        <w:t xml:space="preserve"> unless shareholders specifically request that dividends be paid by telegraphic transfer at the expense of the shareholders.</w:t>
      </w:r>
      <w:r>
        <w:t xml:space="preserve"> </w:t>
      </w:r>
      <w:r w:rsidRPr="00DC6729">
        <w:t>Dividends payable by transfer will be paid as promptly as practicable and in any event within four months of being declared by the Directors.</w:t>
      </w:r>
      <w:r>
        <w:t xml:space="preserve"> </w:t>
      </w:r>
      <w:r w:rsidRPr="00DC6729">
        <w:t>Additional shares will be issued to shareholders at a price calculated in the same way as for other issues of the relevant class of share on the same day.</w:t>
      </w:r>
      <w:r>
        <w:t xml:space="preserve"> </w:t>
      </w:r>
      <w:r w:rsidRPr="00DC6729">
        <w:t>There is no minimum of such further shares which may be so subscribed.</w:t>
      </w:r>
    </w:p>
    <w:p w:rsidR="00CD5FB7" w:rsidRPr="00CD5FB7" w:rsidRDefault="00CD5FB7" w:rsidP="00B66B6A">
      <w:pPr>
        <w:pStyle w:val="ALGHd2"/>
      </w:pPr>
      <w:r w:rsidRPr="00CD5FB7">
        <w:lastRenderedPageBreak/>
        <w:t>Accumulation Classes</w:t>
      </w:r>
    </w:p>
    <w:p w:rsidR="00F62139" w:rsidRPr="00DC6729" w:rsidRDefault="00F62139" w:rsidP="00F62139">
      <w:pPr>
        <w:pStyle w:val="Body1ALG"/>
      </w:pPr>
      <w:r>
        <w:t xml:space="preserve">For Class A Acc Sterling Shares, Class B Acc Sterling Shares, </w:t>
      </w:r>
      <w:r w:rsidR="00623AC3">
        <w:t xml:space="preserve">and </w:t>
      </w:r>
      <w:r>
        <w:t xml:space="preserve">Class C Acc Sterling Shares, </w:t>
      </w:r>
      <w:r w:rsidRPr="000C1AFA">
        <w:t>no dividends will be declared</w:t>
      </w:r>
      <w:r>
        <w:t>. A</w:t>
      </w:r>
      <w:r w:rsidRPr="000C1AFA">
        <w:t>ny income available for distribution will form part of the assets of the Fund and will be applied when calculating the subscription price and the repurchase price as part of the proportion of the Fund which is attributable to the holders of that class of Shares</w:t>
      </w:r>
      <w:r>
        <w:t>.</w:t>
      </w:r>
    </w:p>
    <w:p w:rsidR="00F62139" w:rsidRPr="00FE2318" w:rsidRDefault="00F62139" w:rsidP="00F62139">
      <w:pPr>
        <w:pStyle w:val="ALGHd1"/>
      </w:pPr>
      <w:bookmarkStart w:id="36" w:name="_Ref510014477"/>
      <w:bookmarkStart w:id="37" w:name="_Toc13488218"/>
      <w:r w:rsidRPr="00FE2318">
        <w:t>Income equalisation</w:t>
      </w:r>
      <w:bookmarkEnd w:id="36"/>
      <w:bookmarkEnd w:id="37"/>
    </w:p>
    <w:p w:rsidR="00F62139" w:rsidRPr="00DC6729" w:rsidRDefault="00F62139" w:rsidP="00F62139">
      <w:pPr>
        <w:pStyle w:val="ALGNo1"/>
        <w:numPr>
          <w:ilvl w:val="0"/>
          <w:numId w:val="0"/>
        </w:numPr>
        <w:ind w:left="624"/>
      </w:pPr>
      <w:r w:rsidRPr="00DC6729">
        <w:t xml:space="preserve">Income Equalisation is an accounting technique </w:t>
      </w:r>
      <w:r>
        <w:t>to prevent dilution of current S</w:t>
      </w:r>
      <w:r w:rsidRPr="00DC6729">
        <w:t>hareholders' earnings.</w:t>
      </w:r>
      <w:r>
        <w:t xml:space="preserve"> </w:t>
      </w:r>
      <w:r w:rsidRPr="00DC6729">
        <w:t xml:space="preserve">This is accomplished by applying a portion of the proceeds from </w:t>
      </w:r>
      <w:r>
        <w:t>S</w:t>
      </w:r>
      <w:r w:rsidRPr="00DC6729">
        <w:t xml:space="preserve">hares issued and </w:t>
      </w:r>
      <w:r>
        <w:t xml:space="preserve">repurchased </w:t>
      </w:r>
      <w:r w:rsidRPr="00DC6729">
        <w:t>to undistributed income.</w:t>
      </w:r>
      <w:r>
        <w:t xml:space="preserve"> </w:t>
      </w:r>
      <w:r w:rsidRPr="00DC6729">
        <w:t xml:space="preserve">That portion is </w:t>
      </w:r>
      <w:r>
        <w:t>equivalent to the amount on</w:t>
      </w:r>
      <w:r w:rsidRPr="00DC6729">
        <w:t xml:space="preserve"> a per-</w:t>
      </w:r>
      <w:r>
        <w:t>S</w:t>
      </w:r>
      <w:r w:rsidRPr="00DC6729">
        <w:t xml:space="preserve">hare basis of undistributed net investment income on the date of the transaction through </w:t>
      </w:r>
      <w:r>
        <w:t xml:space="preserve">the </w:t>
      </w:r>
      <w:r w:rsidRPr="00DC6729">
        <w:t xml:space="preserve">equalization </w:t>
      </w:r>
      <w:r>
        <w:t xml:space="preserve">of </w:t>
      </w:r>
      <w:r w:rsidRPr="00DC6729">
        <w:t>debits or credits.</w:t>
      </w:r>
    </w:p>
    <w:p w:rsidR="00F62139" w:rsidRDefault="00F62139" w:rsidP="00F62139">
      <w:pPr>
        <w:pStyle w:val="Body1ALG"/>
      </w:pPr>
      <w:r w:rsidRPr="00DC6729">
        <w:t xml:space="preserve">The Directors may, and in their sole discretion, determine that the </w:t>
      </w:r>
      <w:r>
        <w:t>Fund</w:t>
      </w:r>
      <w:r w:rsidRPr="00DC6729">
        <w:t xml:space="preserve"> shall apply an income equalisation formula to any </w:t>
      </w:r>
      <w:r>
        <w:t xml:space="preserve">Income Share </w:t>
      </w:r>
      <w:r w:rsidRPr="00DC6729">
        <w:t xml:space="preserve">for any semi-annual period (as appropriate) in which it is expected that significant subscriptions or </w:t>
      </w:r>
      <w:r>
        <w:t xml:space="preserve">repurchases </w:t>
      </w:r>
      <w:r w:rsidRPr="00DC6729">
        <w:t xml:space="preserve">of shares in the </w:t>
      </w:r>
      <w:r>
        <w:t>Fund</w:t>
      </w:r>
      <w:r w:rsidRPr="00DC6729">
        <w:t xml:space="preserve"> during that semi-annual period might have a significant impact on the net investment income of the </w:t>
      </w:r>
      <w:r>
        <w:t>Fund</w:t>
      </w:r>
      <w:r w:rsidRPr="00DC6729">
        <w:t xml:space="preserve"> which would otherwise be available for distribution on the last Dealing Day of the relevant semi-annual period.</w:t>
      </w:r>
      <w:r>
        <w:t xml:space="preserve"> </w:t>
      </w:r>
    </w:p>
    <w:p w:rsidR="00F62139" w:rsidRPr="00DC6729" w:rsidRDefault="00F62139" w:rsidP="00F62139">
      <w:pPr>
        <w:pStyle w:val="Body1ALG"/>
      </w:pPr>
      <w:r w:rsidRPr="00DC6729">
        <w:t xml:space="preserve">In such circumstances, the subscription price of the </w:t>
      </w:r>
      <w:r>
        <w:t xml:space="preserve">Income Share </w:t>
      </w:r>
      <w:r w:rsidRPr="00DC6729">
        <w:t xml:space="preserve">in the </w:t>
      </w:r>
      <w:r>
        <w:t>Fund</w:t>
      </w:r>
      <w:r w:rsidRPr="00DC6729">
        <w:t xml:space="preserve"> will be deemed to include an equalisation amount which represents a portion of the net accrued income of the relevant class up to the point of subscription, and the first distribution in respect of </w:t>
      </w:r>
      <w:r>
        <w:t xml:space="preserve">Income Shares </w:t>
      </w:r>
      <w:r w:rsidRPr="00DC6729">
        <w:t xml:space="preserve">in the </w:t>
      </w:r>
      <w:r>
        <w:t>Fund</w:t>
      </w:r>
      <w:r w:rsidRPr="00DC6729">
        <w:t xml:space="preserve"> will include a payment from the new investor, equivalent to the amount of such equalisation payment (which would usually be treated as a return of capital rather than a receipt of income by the investor).</w:t>
      </w:r>
      <w:r>
        <w:t xml:space="preserve"> </w:t>
      </w:r>
      <w:r w:rsidRPr="00DC6729">
        <w:t xml:space="preserve">The </w:t>
      </w:r>
      <w:r>
        <w:t xml:space="preserve">repurchase </w:t>
      </w:r>
      <w:r w:rsidRPr="00DC6729">
        <w:t xml:space="preserve">price of each </w:t>
      </w:r>
      <w:r>
        <w:t xml:space="preserve">Income Share </w:t>
      </w:r>
      <w:r w:rsidRPr="00DC6729">
        <w:t xml:space="preserve">will also include an equalisation payment in respect of the net accrued income of the </w:t>
      </w:r>
      <w:r>
        <w:t>Fund</w:t>
      </w:r>
      <w:r w:rsidRPr="00DC6729">
        <w:t xml:space="preserve"> up to the Dealing Day on which the relevant </w:t>
      </w:r>
      <w:r>
        <w:t xml:space="preserve">Income Shares </w:t>
      </w:r>
      <w:r w:rsidRPr="00DC6729">
        <w:t xml:space="preserve">are </w:t>
      </w:r>
      <w:r>
        <w:t>repurchased</w:t>
      </w:r>
      <w:r w:rsidRPr="00DC6729">
        <w:t>.</w:t>
      </w:r>
    </w:p>
    <w:p w:rsidR="00F62139" w:rsidRDefault="00F62139" w:rsidP="00F62139">
      <w:pPr>
        <w:pStyle w:val="ALGHd1"/>
      </w:pPr>
      <w:bookmarkStart w:id="38" w:name="_Ref510014478"/>
      <w:bookmarkStart w:id="39" w:name="_Toc13488219"/>
      <w:r>
        <w:t xml:space="preserve">Fees </w:t>
      </w:r>
      <w:r w:rsidRPr="00FE2318">
        <w:t>and expenses</w:t>
      </w:r>
      <w:bookmarkEnd w:id="38"/>
      <w:bookmarkEnd w:id="39"/>
    </w:p>
    <w:p w:rsidR="00F62139" w:rsidRDefault="00F62139" w:rsidP="00F62139">
      <w:pPr>
        <w:pStyle w:val="Body2ALG"/>
      </w:pPr>
      <w:r>
        <w:t xml:space="preserve">In addition to the below, </w:t>
      </w:r>
      <w:r w:rsidRPr="00C67478">
        <w:rPr>
          <w:lang w:val="en-GB" w:eastAsia="en-GB"/>
        </w:rPr>
        <w:t xml:space="preserve">details of the </w:t>
      </w:r>
      <w:r>
        <w:rPr>
          <w:lang w:val="en-GB" w:eastAsia="en-GB"/>
        </w:rPr>
        <w:t xml:space="preserve">other fees and expenses </w:t>
      </w:r>
      <w:r w:rsidRPr="00C67478">
        <w:rPr>
          <w:lang w:val="en-GB" w:eastAsia="en-GB"/>
        </w:rPr>
        <w:t>borne by the Fund are set out in the</w:t>
      </w:r>
      <w:r>
        <w:rPr>
          <w:lang w:val="en-GB" w:eastAsia="en-GB"/>
        </w:rPr>
        <w:t xml:space="preserve"> </w:t>
      </w:r>
      <w:r w:rsidRPr="00DC6729">
        <w:t xml:space="preserve">section of the Prospectus entitled </w:t>
      </w:r>
      <w:r>
        <w:rPr>
          <w:b/>
        </w:rPr>
        <w:t xml:space="preserve">Fees </w:t>
      </w:r>
      <w:r w:rsidRPr="00DC6729">
        <w:rPr>
          <w:b/>
        </w:rPr>
        <w:t>and Expenses</w:t>
      </w:r>
      <w:r w:rsidRPr="00DC6729">
        <w:t>.</w:t>
      </w:r>
    </w:p>
    <w:p w:rsidR="00F62139" w:rsidRPr="00DC6729" w:rsidRDefault="00F62139" w:rsidP="00F62139">
      <w:pPr>
        <w:pStyle w:val="ALGHd2"/>
      </w:pPr>
      <w:r>
        <w:t>Dilution Adjustment</w:t>
      </w:r>
    </w:p>
    <w:p w:rsidR="00F62139" w:rsidRPr="00DC6729" w:rsidRDefault="00F62139" w:rsidP="00F62139">
      <w:pPr>
        <w:pStyle w:val="Body2ALG"/>
      </w:pPr>
      <w:r>
        <w:t xml:space="preserve">The Directors may apply a Dilution Adjustment. Further information on this in included in the </w:t>
      </w:r>
      <w:r>
        <w:rPr>
          <w:b/>
        </w:rPr>
        <w:t xml:space="preserve">Calculation of Dilution Adjustment </w:t>
      </w:r>
      <w:r w:rsidRPr="00207A0E">
        <w:t>section</w:t>
      </w:r>
      <w:r>
        <w:rPr>
          <w:b/>
        </w:rPr>
        <w:t xml:space="preserve"> </w:t>
      </w:r>
      <w:r w:rsidRPr="00256325">
        <w:t>in the Prospectus.</w:t>
      </w:r>
    </w:p>
    <w:p w:rsidR="00F62139" w:rsidRDefault="00F62139" w:rsidP="00F62139">
      <w:pPr>
        <w:pStyle w:val="ALGHd2"/>
      </w:pPr>
      <w:bookmarkStart w:id="40" w:name="_Ref510014480"/>
      <w:bookmarkStart w:id="41" w:name="_Ref519613445"/>
      <w:r>
        <w:t>Manager's Annual Charge</w:t>
      </w:r>
    </w:p>
    <w:p w:rsidR="00F62139" w:rsidRPr="00655E48" w:rsidRDefault="00F62139" w:rsidP="00F62139">
      <w:pPr>
        <w:pStyle w:val="Body1ALG"/>
      </w:pPr>
      <w:r>
        <w:t>The Manager's a</w:t>
      </w:r>
      <w:r w:rsidRPr="00655E48">
        <w:t xml:space="preserve">nnual </w:t>
      </w:r>
      <w:r>
        <w:t>c</w:t>
      </w:r>
      <w:r w:rsidRPr="00655E48">
        <w:t xml:space="preserve">harge for </w:t>
      </w:r>
      <w:r w:rsidR="005F1AD7">
        <w:t>the Fund</w:t>
      </w:r>
      <w:r w:rsidRPr="00655E48">
        <w:t xml:space="preserve"> is calculated on the basis of the Net Asset Value of </w:t>
      </w:r>
      <w:r w:rsidR="005F1AD7">
        <w:t>the Fund</w:t>
      </w:r>
      <w:r w:rsidRPr="00655E48">
        <w:t xml:space="preserve"> and shall be</w:t>
      </w:r>
      <w:r>
        <w:t xml:space="preserve"> 0</w:t>
      </w:r>
      <w:r w:rsidR="0042315A">
        <w:t>.</w:t>
      </w:r>
      <w:r w:rsidRPr="00D050BC">
        <w:t>15%</w:t>
      </w:r>
      <w:r w:rsidRPr="00655E48">
        <w:t xml:space="preserve"> subject to a minimum of </w:t>
      </w:r>
      <w:r>
        <w:rPr>
          <w:color w:val="000000"/>
          <w:lang w:eastAsia="en-GB"/>
        </w:rPr>
        <w:t xml:space="preserve">€150,000 </w:t>
      </w:r>
      <w:r w:rsidRPr="00655E48">
        <w:t>which shall accrue daily and will be calculated and paid monthly in arrears.</w:t>
      </w:r>
      <w:r>
        <w:t xml:space="preserve"> </w:t>
      </w:r>
      <w:r w:rsidRPr="00655E48">
        <w:t xml:space="preserve">The Manager, on behalf of </w:t>
      </w:r>
      <w:r>
        <w:t>the ICAV, shall pay out of the Manager's a</w:t>
      </w:r>
      <w:r w:rsidRPr="00655E48">
        <w:t xml:space="preserve">nnual </w:t>
      </w:r>
      <w:r>
        <w:t>c</w:t>
      </w:r>
      <w:r w:rsidRPr="00655E48">
        <w:t>harge the following:</w:t>
      </w:r>
    </w:p>
    <w:p w:rsidR="00F62139" w:rsidRPr="00655E48" w:rsidRDefault="00F62139" w:rsidP="00F62139">
      <w:pPr>
        <w:pStyle w:val="ALGNo3"/>
      </w:pPr>
      <w:bookmarkStart w:id="42" w:name="_Ref528339885"/>
      <w:r w:rsidRPr="00655E48">
        <w:t>fees and charges payable to each of the Administrator and the Depositary in respect of the provision of services to the Fund</w:t>
      </w:r>
      <w:r>
        <w:t>;</w:t>
      </w:r>
      <w:bookmarkEnd w:id="42"/>
    </w:p>
    <w:p w:rsidR="00F62139" w:rsidRDefault="00F62139" w:rsidP="00F62139">
      <w:pPr>
        <w:pStyle w:val="ALGNo3"/>
      </w:pPr>
      <w:r w:rsidRPr="00655E48">
        <w:t>fees and expenses of each of the</w:t>
      </w:r>
      <w:r>
        <w:t xml:space="preserve"> ICAV</w:t>
      </w:r>
      <w:r w:rsidRPr="00655E48">
        <w:t xml:space="preserve"> Secretary, the </w:t>
      </w:r>
      <w:r>
        <w:t>m</w:t>
      </w:r>
      <w:r w:rsidRPr="00655E48">
        <w:t xml:space="preserve">oney </w:t>
      </w:r>
      <w:r>
        <w:t>l</w:t>
      </w:r>
      <w:r w:rsidRPr="00655E48">
        <w:t xml:space="preserve">aundering </w:t>
      </w:r>
      <w:r>
        <w:t>r</w:t>
      </w:r>
      <w:r w:rsidRPr="00655E48">
        <w:t xml:space="preserve">eporting </w:t>
      </w:r>
      <w:r>
        <w:t>o</w:t>
      </w:r>
      <w:r w:rsidRPr="00655E48">
        <w:t xml:space="preserve">fficer, the </w:t>
      </w:r>
      <w:r>
        <w:t xml:space="preserve">Auditors, the Directors (including Directors' insurance costs) proportionate to the Fund; </w:t>
      </w:r>
    </w:p>
    <w:p w:rsidR="00F62139" w:rsidRPr="00655E48" w:rsidRDefault="00F62139" w:rsidP="00F62139">
      <w:pPr>
        <w:pStyle w:val="ALGNo3"/>
      </w:pPr>
      <w:r>
        <w:t>the Fund's annual regulatory levy; and</w:t>
      </w:r>
    </w:p>
    <w:p w:rsidR="00F62139" w:rsidRDefault="00F62139" w:rsidP="00F62139">
      <w:pPr>
        <w:pStyle w:val="ALGNo3"/>
      </w:pPr>
      <w:bookmarkStart w:id="43" w:name="_Ref528339888"/>
      <w:r w:rsidRPr="00655E48">
        <w:t>costs of preparation and dissemination of financial statements and other reports and notifications to Shareholders</w:t>
      </w:r>
      <w:r>
        <w:t xml:space="preserve"> of the Fund.</w:t>
      </w:r>
      <w:bookmarkEnd w:id="43"/>
    </w:p>
    <w:p w:rsidR="00F62139" w:rsidRDefault="00F62139" w:rsidP="00F62139">
      <w:pPr>
        <w:pStyle w:val="Body2ALG"/>
      </w:pPr>
      <w:r>
        <w:lastRenderedPageBreak/>
        <w:t>The Manager shall be entitled to its out of pocket expenses.</w:t>
      </w:r>
    </w:p>
    <w:p w:rsidR="00F62139" w:rsidRPr="00655E48" w:rsidRDefault="00F62139" w:rsidP="00F62139">
      <w:pPr>
        <w:pStyle w:val="Body2ALG"/>
      </w:pPr>
      <w:r>
        <w:t xml:space="preserve">Fees, costs and charges not outlined in sections </w:t>
      </w:r>
      <w:r>
        <w:fldChar w:fldCharType="begin"/>
      </w:r>
      <w:r>
        <w:instrText xml:space="preserve"> REF _Ref528339885 \r \h </w:instrText>
      </w:r>
      <w:r>
        <w:fldChar w:fldCharType="separate"/>
      </w:r>
      <w:r w:rsidR="0061570B">
        <w:t>15.2.1</w:t>
      </w:r>
      <w:r>
        <w:fldChar w:fldCharType="end"/>
      </w:r>
      <w:r>
        <w:t xml:space="preserve"> to </w:t>
      </w:r>
      <w:r>
        <w:fldChar w:fldCharType="begin"/>
      </w:r>
      <w:r>
        <w:instrText xml:space="preserve"> REF _Ref528339888 \r \h </w:instrText>
      </w:r>
      <w:r>
        <w:fldChar w:fldCharType="separate"/>
      </w:r>
      <w:r w:rsidR="0061570B">
        <w:t>15.2.4</w:t>
      </w:r>
      <w:r>
        <w:fldChar w:fldCharType="end"/>
      </w:r>
      <w:r>
        <w:t xml:space="preserve"> which are incurred in respect of the Fund will be charged (at normal commercial rates) directly to the Fund.</w:t>
      </w:r>
      <w:r w:rsidRPr="00096850">
        <w:t xml:space="preserve"> </w:t>
      </w:r>
      <w:r>
        <w:t>These might include, where relevant, bank charges, custody fees, tax reporting fees (save for CRS and FATCA reporting), costs incurred for meetings of Shareholders, marketing and distribution costs, costs incurred in respect of the distribution of income to Shareholders, the fees and expenses of any paying agent or representative appointed in compliance with the requirements of another jurisdiction, the fees and expenses of any tax and legal advisers, fees connected with listing any Shares on Euronext or other stock exchanges</w:t>
      </w:r>
      <w:r w:rsidR="0042315A">
        <w:t xml:space="preserve"> (if applicable)</w:t>
      </w:r>
      <w:r>
        <w:t>, fees connected with registering Shares for sale in other jurisdictions, costs of printing and distributing the Prospectus and/or Supplement to Shareholders of the Fund, the costs of any regulatory reporting, accounts and any explanatory memoranda, the costs of any translation fees, the costs of publishing prices, costs incurred as a result of periodic updates of the Constitution, Prospectus and/or Supplement, or of a change in law or the introduction of any new law including any costs incurred as a result of compliance with any applicable code, whether or not having the force of law, any investment-related taxes and governmental fees, brokerage fees, commissions and other transaction expenses, costs of borrowing money including interest expenses, and extraordinary expenses such as litigation and indemnification expenses.</w:t>
      </w:r>
    </w:p>
    <w:p w:rsidR="00F62139" w:rsidRDefault="00F62139" w:rsidP="00F62139">
      <w:pPr>
        <w:pStyle w:val="ALGHd2"/>
      </w:pPr>
      <w:bookmarkStart w:id="44" w:name="_Ref527465214"/>
      <w:r w:rsidRPr="00DC6729">
        <w:t>Investment Manager</w:t>
      </w:r>
      <w:bookmarkEnd w:id="40"/>
      <w:bookmarkEnd w:id="41"/>
      <w:bookmarkEnd w:id="44"/>
      <w:r>
        <w:t>'s Annual Charge</w:t>
      </w:r>
    </w:p>
    <w:p w:rsidR="00F62139" w:rsidRDefault="00F62139" w:rsidP="00F62139">
      <w:pPr>
        <w:pStyle w:val="Body1ALG"/>
      </w:pPr>
      <w:bookmarkStart w:id="45" w:name="_Ref510014481"/>
      <w:r w:rsidRPr="00DC6729">
        <w:t xml:space="preserve">The following charges will apply to Class A, Class B, </w:t>
      </w:r>
      <w:r w:rsidR="00623AC3">
        <w:t xml:space="preserve">and </w:t>
      </w:r>
      <w:r w:rsidRPr="00DC6729">
        <w:t>Class C:</w:t>
      </w:r>
    </w:p>
    <w:tbl>
      <w:tblPr>
        <w:tblStyle w:val="ALGTable"/>
        <w:tblW w:w="4657" w:type="pct"/>
        <w:tblInd w:w="720" w:type="dxa"/>
        <w:tblLook w:val="00A0" w:firstRow="1" w:lastRow="0" w:firstColumn="1" w:lastColumn="0" w:noHBand="0" w:noVBand="0"/>
      </w:tblPr>
      <w:tblGrid>
        <w:gridCol w:w="4820"/>
        <w:gridCol w:w="4358"/>
      </w:tblGrid>
      <w:tr w:rsidR="00F62139" w:rsidRPr="00DC6729" w:rsidTr="00AD02FF">
        <w:trPr>
          <w:cnfStyle w:val="100000000000" w:firstRow="1" w:lastRow="0" w:firstColumn="0" w:lastColumn="0" w:oddVBand="0" w:evenVBand="0" w:oddHBand="0" w:evenHBand="0" w:firstRowFirstColumn="0" w:firstRowLastColumn="0" w:lastRowFirstColumn="0" w:lastRowLastColumn="0"/>
          <w:trHeight w:val="347"/>
        </w:trPr>
        <w:tc>
          <w:tcPr>
            <w:tcW w:w="2626" w:type="pct"/>
          </w:tcPr>
          <w:p w:rsidR="00F62139" w:rsidRPr="00DC6729" w:rsidRDefault="00F62139" w:rsidP="00AD02FF">
            <w:pPr>
              <w:spacing w:before="60" w:after="60"/>
              <w:jc w:val="center"/>
              <w:rPr>
                <w:rFonts w:cs="Arial"/>
                <w:b/>
                <w:bCs/>
              </w:rPr>
            </w:pPr>
            <w:r w:rsidRPr="00DC6729">
              <w:rPr>
                <w:rFonts w:cs="Arial"/>
                <w:b/>
                <w:bCs/>
              </w:rPr>
              <w:t>Class</w:t>
            </w:r>
          </w:p>
        </w:tc>
        <w:tc>
          <w:tcPr>
            <w:tcW w:w="2374" w:type="pct"/>
          </w:tcPr>
          <w:p w:rsidR="00F62139" w:rsidRPr="00DC6729" w:rsidRDefault="00F62139" w:rsidP="00AD02FF">
            <w:pPr>
              <w:spacing w:before="60" w:after="60"/>
              <w:jc w:val="center"/>
              <w:rPr>
                <w:rFonts w:cs="Arial"/>
                <w:b/>
                <w:bCs/>
              </w:rPr>
            </w:pPr>
            <w:r>
              <w:rPr>
                <w:rFonts w:cs="Arial"/>
                <w:b/>
                <w:bCs/>
              </w:rPr>
              <w:t xml:space="preserve">Investment Manager's Annual </w:t>
            </w:r>
            <w:r w:rsidRPr="00DC6729">
              <w:rPr>
                <w:rFonts w:cs="Arial"/>
                <w:b/>
                <w:bCs/>
              </w:rPr>
              <w:t>Charge</w:t>
            </w:r>
          </w:p>
        </w:tc>
      </w:tr>
      <w:tr w:rsidR="00F62139" w:rsidRPr="00DC6729" w:rsidTr="00AD02FF">
        <w:trPr>
          <w:trHeight w:val="268"/>
        </w:trPr>
        <w:tc>
          <w:tcPr>
            <w:tcW w:w="2626" w:type="pct"/>
          </w:tcPr>
          <w:p w:rsidR="00F62139" w:rsidRPr="00DC6729" w:rsidRDefault="00F62139" w:rsidP="00AD02FF">
            <w:pPr>
              <w:spacing w:before="60" w:after="60"/>
              <w:ind w:left="131"/>
              <w:jc w:val="center"/>
              <w:rPr>
                <w:rFonts w:cs="Arial"/>
              </w:rPr>
            </w:pPr>
            <w:r>
              <w:rPr>
                <w:rFonts w:cs="Arial"/>
              </w:rPr>
              <w:t>Class A</w:t>
            </w:r>
            <w:r w:rsidR="002A2DEA">
              <w:rPr>
                <w:rFonts w:cs="Arial"/>
              </w:rPr>
              <w:t xml:space="preserve"> Income and Acc Classes</w:t>
            </w:r>
          </w:p>
        </w:tc>
        <w:tc>
          <w:tcPr>
            <w:tcW w:w="2374" w:type="pct"/>
          </w:tcPr>
          <w:p w:rsidR="00F62139" w:rsidRPr="00DC6729" w:rsidRDefault="00F62139" w:rsidP="00AD02FF">
            <w:pPr>
              <w:spacing w:before="60" w:after="60"/>
              <w:jc w:val="center"/>
              <w:rPr>
                <w:rFonts w:cs="Arial"/>
                <w:lang w:val="en-GB"/>
              </w:rPr>
            </w:pPr>
            <w:r w:rsidRPr="00DC6729">
              <w:rPr>
                <w:rFonts w:cs="Arial"/>
                <w:lang w:val="en-GB"/>
              </w:rPr>
              <w:t>1.00%</w:t>
            </w:r>
          </w:p>
        </w:tc>
      </w:tr>
      <w:tr w:rsidR="00F62139" w:rsidRPr="00DC6729" w:rsidTr="00AD02FF">
        <w:trPr>
          <w:trHeight w:val="215"/>
        </w:trPr>
        <w:tc>
          <w:tcPr>
            <w:tcW w:w="2626" w:type="pct"/>
          </w:tcPr>
          <w:p w:rsidR="00F62139" w:rsidRPr="00DC6729" w:rsidRDefault="00F62139" w:rsidP="00AD02FF">
            <w:pPr>
              <w:spacing w:before="60" w:after="60"/>
              <w:ind w:left="131"/>
              <w:jc w:val="center"/>
              <w:rPr>
                <w:rFonts w:cs="Arial"/>
              </w:rPr>
            </w:pPr>
            <w:r>
              <w:rPr>
                <w:rFonts w:cs="Arial"/>
              </w:rPr>
              <w:t>Class B</w:t>
            </w:r>
            <w:r w:rsidR="002A2DEA">
              <w:rPr>
                <w:rFonts w:cs="Arial"/>
              </w:rPr>
              <w:t xml:space="preserve"> Income and Acc Classes</w:t>
            </w:r>
          </w:p>
        </w:tc>
        <w:tc>
          <w:tcPr>
            <w:tcW w:w="2374" w:type="pct"/>
          </w:tcPr>
          <w:p w:rsidR="00F62139" w:rsidRPr="00DC6729" w:rsidRDefault="00F62139" w:rsidP="00AD02FF">
            <w:pPr>
              <w:spacing w:before="60" w:after="60"/>
              <w:jc w:val="center"/>
              <w:rPr>
                <w:rFonts w:cs="Arial"/>
              </w:rPr>
            </w:pPr>
            <w:r w:rsidRPr="00DC6729">
              <w:rPr>
                <w:rFonts w:cs="Arial"/>
              </w:rPr>
              <w:t>0.25%</w:t>
            </w:r>
          </w:p>
        </w:tc>
      </w:tr>
      <w:tr w:rsidR="00F62139" w:rsidRPr="00DC6729" w:rsidTr="00AD02FF">
        <w:trPr>
          <w:trHeight w:val="305"/>
        </w:trPr>
        <w:tc>
          <w:tcPr>
            <w:tcW w:w="2626" w:type="pct"/>
          </w:tcPr>
          <w:p w:rsidR="00F62139" w:rsidRPr="00DC6729" w:rsidRDefault="00F62139" w:rsidP="002A2DEA">
            <w:pPr>
              <w:spacing w:before="60" w:after="60"/>
              <w:ind w:left="131"/>
              <w:jc w:val="center"/>
              <w:rPr>
                <w:rFonts w:cs="Arial"/>
              </w:rPr>
            </w:pPr>
            <w:r>
              <w:rPr>
                <w:rFonts w:cs="Arial"/>
              </w:rPr>
              <w:t>Class C</w:t>
            </w:r>
            <w:r w:rsidR="002A2DEA">
              <w:rPr>
                <w:rFonts w:cs="Arial"/>
              </w:rPr>
              <w:t xml:space="preserve"> Acc Classes</w:t>
            </w:r>
          </w:p>
        </w:tc>
        <w:tc>
          <w:tcPr>
            <w:tcW w:w="2374" w:type="pct"/>
          </w:tcPr>
          <w:p w:rsidR="00F62139" w:rsidRPr="00DC6729" w:rsidRDefault="00F62139" w:rsidP="00AD02FF">
            <w:pPr>
              <w:spacing w:before="60" w:after="60"/>
              <w:jc w:val="center"/>
              <w:rPr>
                <w:rFonts w:cs="Arial"/>
              </w:rPr>
            </w:pPr>
            <w:r w:rsidRPr="00DC6729">
              <w:rPr>
                <w:rFonts w:cs="Arial"/>
              </w:rPr>
              <w:t>0.15%</w:t>
            </w:r>
          </w:p>
        </w:tc>
      </w:tr>
    </w:tbl>
    <w:p w:rsidR="00F62139" w:rsidRPr="00DC6729" w:rsidRDefault="00F62139" w:rsidP="00F62139">
      <w:pPr>
        <w:pStyle w:val="Body2ALG"/>
      </w:pPr>
      <w:r w:rsidRPr="00DC6729">
        <w:t>The Investment Manager may agree at its discretion to rebate all or a</w:t>
      </w:r>
      <w:r>
        <w:t xml:space="preserve"> </w:t>
      </w:r>
      <w:r w:rsidRPr="00DC6729">
        <w:t xml:space="preserve">portion of its annual charge with respect to certain </w:t>
      </w:r>
      <w:r>
        <w:t>S</w:t>
      </w:r>
      <w:r w:rsidRPr="00DC6729">
        <w:t xml:space="preserve">hareholders or applicant </w:t>
      </w:r>
      <w:r>
        <w:t>S</w:t>
      </w:r>
      <w:r w:rsidRPr="00DC6729">
        <w:t>hareholders.</w:t>
      </w:r>
      <w:r>
        <w:t xml:space="preserve"> </w:t>
      </w:r>
      <w:r w:rsidRPr="00DC6729">
        <w:t xml:space="preserve">Any such rebate will not entitle other </w:t>
      </w:r>
      <w:r>
        <w:t>S</w:t>
      </w:r>
      <w:r w:rsidRPr="00DC6729">
        <w:t>hareholders to a similar rebate.</w:t>
      </w:r>
    </w:p>
    <w:p w:rsidR="00F62139" w:rsidRPr="00DC6729" w:rsidRDefault="00F62139" w:rsidP="00F62139">
      <w:pPr>
        <w:pStyle w:val="Body2ALG"/>
      </w:pPr>
      <w:r>
        <w:t>The Investment Manager's C</w:t>
      </w:r>
      <w:r w:rsidRPr="00DC6729">
        <w:t xml:space="preserve">harge for </w:t>
      </w:r>
      <w:r w:rsidR="00F7414F">
        <w:t>each Share C</w:t>
      </w:r>
      <w:r w:rsidR="00F57DE3">
        <w:t>lass</w:t>
      </w:r>
      <w:r>
        <w:t xml:space="preserve"> is </w:t>
      </w:r>
      <w:r w:rsidRPr="00DC6729">
        <w:t xml:space="preserve">calculated as a percentage of the NAV of the Fund attributable to that </w:t>
      </w:r>
      <w:r>
        <w:t xml:space="preserve">Share Class, accrued daily </w:t>
      </w:r>
      <w:r w:rsidRPr="00DC6729">
        <w:t>and are included in the table above.</w:t>
      </w:r>
      <w:r>
        <w:t xml:space="preserve"> </w:t>
      </w:r>
      <w:r w:rsidRPr="00DC6729">
        <w:t>No performance fee will be payable to the Investment Manager.</w:t>
      </w:r>
      <w:r>
        <w:t xml:space="preserve"> </w:t>
      </w:r>
      <w:r w:rsidRPr="00DC6729">
        <w:t xml:space="preserve">The annual rate of the charge paid by the </w:t>
      </w:r>
      <w:r>
        <w:t xml:space="preserve">Fund </w:t>
      </w:r>
      <w:r w:rsidRPr="00DC6729">
        <w:t>to the Investment Manager may be increased to a maximum figure</w:t>
      </w:r>
      <w:r>
        <w:t xml:space="preserve"> of 1.00% of the NAV of the Fund (referable to the relevant Share Class) </w:t>
      </w:r>
      <w:r w:rsidRPr="00DC6729">
        <w:t xml:space="preserve">by agreement between the </w:t>
      </w:r>
      <w:r>
        <w:t xml:space="preserve">Directors </w:t>
      </w:r>
      <w:r w:rsidRPr="00DC6729">
        <w:t xml:space="preserve">and the Investment Manager and without the consent of </w:t>
      </w:r>
      <w:r>
        <w:t>S</w:t>
      </w:r>
      <w:r w:rsidRPr="00DC6729">
        <w:t>hareholders but will not be increased without at least 30 days</w:t>
      </w:r>
      <w:r>
        <w:t>'</w:t>
      </w:r>
      <w:r w:rsidRPr="00DC6729">
        <w:t xml:space="preserve"> written notice being given to </w:t>
      </w:r>
      <w:r>
        <w:t>Share</w:t>
      </w:r>
      <w:r w:rsidRPr="00DC6729">
        <w:t>holders</w:t>
      </w:r>
      <w:r>
        <w:t xml:space="preserve"> in accordance with Regulation 27 of the Central Bank UCITS Regulations</w:t>
      </w:r>
      <w:r w:rsidRPr="00DC6729">
        <w:t>.</w:t>
      </w:r>
      <w:r>
        <w:t xml:space="preserve"> </w:t>
      </w:r>
      <w:r w:rsidRPr="00DC6729">
        <w:t>The Investment Manager will be entitled to receive payment of its own out of pocket expenses.</w:t>
      </w:r>
    </w:p>
    <w:p w:rsidR="00F62139" w:rsidRDefault="00F62139" w:rsidP="00F62139">
      <w:pPr>
        <w:pStyle w:val="ALGHd1"/>
      </w:pPr>
      <w:bookmarkStart w:id="46" w:name="_Toc13488220"/>
      <w:bookmarkEnd w:id="45"/>
      <w:r>
        <w:t>Marketing</w:t>
      </w:r>
      <w:bookmarkEnd w:id="46"/>
    </w:p>
    <w:p w:rsidR="00F62139" w:rsidRDefault="00F62139" w:rsidP="00F62139">
      <w:pPr>
        <w:pStyle w:val="Body2ALG"/>
      </w:pPr>
      <w:r>
        <w:t>Shares may not be offered or sold in the United Kingdom except as permitted by the FSMA and the regulations made under it, and this Prospectus must not be communicated to any person in the United Kingdom except in circumstances permitted by FSMA or those regulations or to a person to whom this Prospectus may otherwise lawfully be issued in the United Kingdom.</w:t>
      </w:r>
    </w:p>
    <w:p w:rsidR="00F62139" w:rsidRDefault="00F62139" w:rsidP="00F62139">
      <w:pPr>
        <w:pStyle w:val="Body2ALG"/>
      </w:pPr>
      <w:r>
        <w:t>The ICAV intends to notify the FCA in the UK pursuant to section 264 of the FSMA with a view to the ICAV becoming a recognised scheme under section 264 of the FSMA. The ICAV will provide the facilities, including the provision of copies of the Prospectus, key investor information document and other information required by the Collective Investment Schemes Sourcebook published by the FCA regulations governing such schemes at the offices of the Facility Agent in the UK as specified in this Prospectus. The ICAV does not have a permanent place of business in the UK.</w:t>
      </w:r>
    </w:p>
    <w:p w:rsidR="00F62139" w:rsidRDefault="00F62139" w:rsidP="00F62139">
      <w:pPr>
        <w:pStyle w:val="Body2ALG"/>
      </w:pPr>
      <w:r>
        <w:lastRenderedPageBreak/>
        <w:t>From the date of this Prospectus until such time as the ICAV becomes a recognised scheme under the FSMA, its promotion by authorised persons in the UK is restricted by section 21 and 238 of the FSMA and may only be undertaken by an authorised person in compliance with the provisions of section 238 of the FSMA and the regulations made thereunder. In addition, until such time as the ICAV receives recognition as a recognised scheme under section 264 of the FSMA, and the contents of this document have been approved by an authorised person, this document may not be issued in the UK by a person who is not an authorised person, or caused to be so issued by such a person, except in accordance with the provisions of section 21 of the FSMA and the regulations made thereunder. As against the ICAV, and any overseas agent thereof who is not a person authorised to carry on investment business in the UK, a UK investor will not benefit from most of the protections afforded by the UK regulatory system, and in particular will not benefit from rights under the Financial Services Compensation Scheme or access to the Financial Ombudsman Service which are designed to protect investors as described in the FSMA and the rules of the FCA.</w:t>
      </w:r>
    </w:p>
    <w:p w:rsidR="00F62139" w:rsidRDefault="00F62139" w:rsidP="00F62139">
      <w:pPr>
        <w:pStyle w:val="ALGHd1"/>
      </w:pPr>
      <w:bookmarkStart w:id="47" w:name="_Toc13488221"/>
      <w:r>
        <w:t>Net Asset Value</w:t>
      </w:r>
      <w:bookmarkEnd w:id="47"/>
    </w:p>
    <w:p w:rsidR="00F62139" w:rsidRDefault="00F62139" w:rsidP="00F62139">
      <w:pPr>
        <w:pStyle w:val="Body1ALG"/>
      </w:pPr>
      <w:r>
        <w:t>The Net Asset Value per Share of each Class of Shares in the Fund will be available from the office of the Administrator and such other place as the Directors may decide from time to time and notify to the Shareholders. Such prices will be the prices applicable to the previous Dealing Day's trades and are therefore only indicative after the relevant Dealing Day. This will be published as soon as possible after the prices applicable to the previous Dealing Day's trade become available and will be kept up to date. As this Fund deals daily, the Net Asset Value per Share will be published on each Business Day.</w:t>
      </w:r>
    </w:p>
    <w:p w:rsidR="00F62139" w:rsidRDefault="00F62139" w:rsidP="00F62139">
      <w:pPr>
        <w:pStyle w:val="ALGHd1"/>
      </w:pPr>
      <w:bookmarkStart w:id="48" w:name="_Toc13488222"/>
      <w:r w:rsidRPr="00B63998">
        <w:t>Material</w:t>
      </w:r>
      <w:r>
        <w:t xml:space="preserve"> Contracts</w:t>
      </w:r>
      <w:bookmarkEnd w:id="48"/>
    </w:p>
    <w:p w:rsidR="00F62139" w:rsidRPr="00B63998" w:rsidRDefault="00F62139" w:rsidP="00F62139">
      <w:pPr>
        <w:pStyle w:val="Body2ALG"/>
      </w:pPr>
      <w:r w:rsidRPr="00B63998">
        <w:t>The Investment Management Agreement provides for the appointment of the Investment Manager and to continue for a term of three years unless and until terminated by the Investment Manager giving not less than 90 days' written notice to the ICAV or by the ICAV giving not less than 90 days' written notice to the Investment Manager (in each case to expire after such three year term) although in certain circumstances the agreement may be terminated forthwith by notice in writing by either party to the other; this agreement contains certain indemnities in favour of the Investment Manager which are restricted to exclude matters resulting from the wilful misfeasance, bad faith, fraud, wilful default or negligence of the Investment Manager in the performance or non-performance of its obligations and duties.</w:t>
      </w:r>
    </w:p>
    <w:p w:rsidR="00F62139" w:rsidRPr="006F39EC" w:rsidRDefault="00F62139" w:rsidP="00F62139">
      <w:pPr>
        <w:pStyle w:val="AppendixHeading"/>
      </w:pPr>
      <w:r w:rsidRPr="006F39EC">
        <w:lastRenderedPageBreak/>
        <w:br/>
      </w:r>
      <w:bookmarkStart w:id="49" w:name="_Ref510014092"/>
      <w:bookmarkStart w:id="50" w:name="_Ref510014160"/>
      <w:bookmarkStart w:id="51" w:name="_Toc13488223"/>
      <w:r w:rsidRPr="006F39EC">
        <w:t>Sector limits</w:t>
      </w:r>
      <w:bookmarkEnd w:id="49"/>
      <w:bookmarkEnd w:id="50"/>
      <w:bookmarkEnd w:id="51"/>
      <w:r w:rsidR="0071175C">
        <w:rPr>
          <w:rStyle w:val="FootnoteReference"/>
        </w:rPr>
        <w:footnoteReference w:id="1"/>
      </w:r>
    </w:p>
    <w:p w:rsidR="00F62139" w:rsidRPr="00DC6729" w:rsidRDefault="00F62139" w:rsidP="00F62139">
      <w:pPr>
        <w:pStyle w:val="BodyALG"/>
      </w:pPr>
      <w:r w:rsidRPr="00DC6729">
        <w:t xml:space="preserve">The limits set out below are expressed as a percentage of the NAV of the </w:t>
      </w:r>
      <w:r>
        <w:t>Fund</w:t>
      </w:r>
      <w:r w:rsidRPr="00DC6729">
        <w:t xml:space="preserve"> and only non-government guaranteed corporate </w:t>
      </w:r>
      <w:r>
        <w:t>debt securities</w:t>
      </w:r>
      <w:r w:rsidRPr="00DC6729">
        <w:t xml:space="preserve"> are counted towards these limits.</w:t>
      </w:r>
    </w:p>
    <w:p w:rsidR="00F62139" w:rsidRPr="00DC6729" w:rsidRDefault="00F62139" w:rsidP="00F62139"/>
    <w:tbl>
      <w:tblPr>
        <w:tblStyle w:val="TableGrid"/>
        <w:tblW w:w="6202" w:type="dxa"/>
        <w:jc w:val="center"/>
        <w:tblBorders>
          <w:insideH w:val="single" w:sz="8" w:space="0" w:color="808080"/>
          <w:insideV w:val="single" w:sz="8" w:space="0" w:color="808080"/>
        </w:tblBorders>
        <w:tblLayout w:type="fixed"/>
        <w:tblLook w:val="00A0" w:firstRow="1" w:lastRow="0" w:firstColumn="1" w:lastColumn="0" w:noHBand="0" w:noVBand="0"/>
      </w:tblPr>
      <w:tblGrid>
        <w:gridCol w:w="2779"/>
        <w:gridCol w:w="3423"/>
      </w:tblGrid>
      <w:tr w:rsidR="00F62139" w:rsidRPr="00DC6729" w:rsidTr="00AD02FF">
        <w:trPr>
          <w:cnfStyle w:val="100000000000" w:firstRow="1" w:lastRow="0" w:firstColumn="0" w:lastColumn="0" w:oddVBand="0" w:evenVBand="0" w:oddHBand="0" w:evenHBand="0" w:firstRowFirstColumn="0" w:firstRowLastColumn="0" w:lastRowFirstColumn="0" w:lastRowLastColumn="0"/>
          <w:trHeight w:val="480"/>
          <w:jc w:val="center"/>
        </w:trPr>
        <w:tc>
          <w:tcPr>
            <w:tcW w:w="2779" w:type="dxa"/>
            <w:tcBorders>
              <w:top w:val="nil"/>
              <w:left w:val="nil"/>
              <w:right w:val="nil"/>
            </w:tcBorders>
            <w:vAlign w:val="center"/>
          </w:tcPr>
          <w:p w:rsidR="00F62139" w:rsidRPr="0026021A" w:rsidRDefault="00F62139" w:rsidP="00AD02FF">
            <w:pPr>
              <w:rPr>
                <w:rFonts w:ascii="Arial Bold" w:hAnsi="Arial Bold" w:cs="Arial"/>
                <w:b/>
                <w:color w:val="FFFFFF" w:themeColor="background1"/>
              </w:rPr>
            </w:pPr>
            <w:r w:rsidRPr="0026021A">
              <w:rPr>
                <w:rFonts w:ascii="Arial Bold" w:hAnsi="Arial Bold" w:cs="Arial"/>
                <w:b/>
                <w:color w:val="FFFFFF" w:themeColor="background1"/>
              </w:rPr>
              <w:t>Sector</w:t>
            </w:r>
          </w:p>
        </w:tc>
        <w:tc>
          <w:tcPr>
            <w:tcW w:w="3423" w:type="dxa"/>
            <w:tcBorders>
              <w:top w:val="nil"/>
              <w:left w:val="nil"/>
              <w:right w:val="nil"/>
            </w:tcBorders>
            <w:vAlign w:val="center"/>
          </w:tcPr>
          <w:p w:rsidR="00F62139" w:rsidRPr="0026021A" w:rsidRDefault="00F62139" w:rsidP="00AD02FF">
            <w:pPr>
              <w:jc w:val="center"/>
              <w:rPr>
                <w:rFonts w:ascii="Arial Bold" w:hAnsi="Arial Bold" w:cs="Arial"/>
                <w:b/>
                <w:color w:val="FFFFFF" w:themeColor="background1"/>
              </w:rPr>
            </w:pPr>
            <w:r w:rsidRPr="0026021A">
              <w:rPr>
                <w:rFonts w:ascii="Arial Bold" w:hAnsi="Arial Bold" w:cs="Arial"/>
                <w:b/>
                <w:color w:val="FFFFFF" w:themeColor="background1"/>
              </w:rPr>
              <w:t>Limit as a percentage of</w:t>
            </w:r>
          </w:p>
          <w:p w:rsidR="00F62139" w:rsidRPr="0026021A" w:rsidRDefault="00F62139" w:rsidP="00AD02FF">
            <w:pPr>
              <w:jc w:val="center"/>
              <w:rPr>
                <w:rFonts w:ascii="Arial Bold" w:hAnsi="Arial Bold" w:cs="Arial"/>
                <w:b/>
                <w:color w:val="FFFFFF" w:themeColor="background1"/>
              </w:rPr>
            </w:pPr>
            <w:r w:rsidRPr="0026021A">
              <w:rPr>
                <w:rFonts w:ascii="Arial Bold" w:hAnsi="Arial Bold" w:cs="Arial"/>
                <w:b/>
                <w:color w:val="FFFFFF" w:themeColor="background1"/>
              </w:rPr>
              <w:t xml:space="preserve">the </w:t>
            </w:r>
            <w:r>
              <w:rPr>
                <w:rFonts w:ascii="Arial Bold" w:hAnsi="Arial Bold" w:cs="Arial"/>
                <w:b/>
                <w:color w:val="FFFFFF" w:themeColor="background1"/>
              </w:rPr>
              <w:t>Fund</w:t>
            </w:r>
            <w:r w:rsidRPr="0026021A">
              <w:rPr>
                <w:rFonts w:ascii="Arial Bold" w:hAnsi="Arial Bold" w:cs="Arial"/>
                <w:b/>
                <w:color w:val="FFFFFF" w:themeColor="background1"/>
              </w:rPr>
              <w:t xml:space="preserve"> NAV</w:t>
            </w:r>
          </w:p>
        </w:tc>
      </w:tr>
      <w:tr w:rsidR="00F62139" w:rsidRPr="00DC6729" w:rsidTr="00AD02FF">
        <w:trPr>
          <w:trHeight w:val="360"/>
          <w:jc w:val="center"/>
        </w:trPr>
        <w:tc>
          <w:tcPr>
            <w:tcW w:w="2779" w:type="dxa"/>
            <w:tcBorders>
              <w:left w:val="nil"/>
              <w:right w:val="nil"/>
            </w:tcBorders>
            <w:vAlign w:val="center"/>
          </w:tcPr>
          <w:p w:rsidR="00F62139" w:rsidRPr="00DC6729" w:rsidRDefault="00F62139" w:rsidP="00AD02FF">
            <w:pPr>
              <w:rPr>
                <w:rFonts w:cs="Arial"/>
              </w:rPr>
            </w:pPr>
            <w:r w:rsidRPr="00DC6729">
              <w:rPr>
                <w:rFonts w:cs="Arial"/>
              </w:rPr>
              <w:t>Energy &amp; Resources</w:t>
            </w:r>
          </w:p>
        </w:tc>
        <w:tc>
          <w:tcPr>
            <w:tcW w:w="3423" w:type="dxa"/>
            <w:tcBorders>
              <w:left w:val="nil"/>
              <w:right w:val="nil"/>
            </w:tcBorders>
            <w:vAlign w:val="center"/>
          </w:tcPr>
          <w:p w:rsidR="00F62139" w:rsidRPr="00DC6729" w:rsidRDefault="00F62139" w:rsidP="00AD02FF">
            <w:pPr>
              <w:jc w:val="center"/>
              <w:rPr>
                <w:rFonts w:cs="Arial"/>
              </w:rPr>
            </w:pPr>
            <w:r w:rsidRPr="00DC6729">
              <w:rPr>
                <w:rFonts w:cs="Arial"/>
              </w:rPr>
              <w:t>20%</w:t>
            </w:r>
          </w:p>
        </w:tc>
      </w:tr>
      <w:tr w:rsidR="00F62139" w:rsidRPr="00DC6729" w:rsidTr="00AD02FF">
        <w:trPr>
          <w:trHeight w:val="315"/>
          <w:jc w:val="center"/>
        </w:trPr>
        <w:tc>
          <w:tcPr>
            <w:tcW w:w="2779" w:type="dxa"/>
            <w:tcBorders>
              <w:left w:val="nil"/>
              <w:right w:val="nil"/>
            </w:tcBorders>
            <w:vAlign w:val="center"/>
          </w:tcPr>
          <w:p w:rsidR="00F62139" w:rsidRPr="00DC6729" w:rsidRDefault="00F62139" w:rsidP="00AD02FF">
            <w:pPr>
              <w:rPr>
                <w:rFonts w:cs="Arial"/>
              </w:rPr>
            </w:pPr>
            <w:r w:rsidRPr="00DC6729">
              <w:rPr>
                <w:rFonts w:cs="Arial"/>
              </w:rPr>
              <w:t>Utilities</w:t>
            </w:r>
          </w:p>
        </w:tc>
        <w:tc>
          <w:tcPr>
            <w:tcW w:w="3423" w:type="dxa"/>
            <w:tcBorders>
              <w:left w:val="nil"/>
              <w:right w:val="nil"/>
            </w:tcBorders>
            <w:vAlign w:val="center"/>
          </w:tcPr>
          <w:p w:rsidR="00F62139" w:rsidRPr="00DC6729" w:rsidRDefault="00F62139" w:rsidP="00AD02FF">
            <w:pPr>
              <w:jc w:val="center"/>
              <w:rPr>
                <w:rFonts w:cs="Arial"/>
              </w:rPr>
            </w:pPr>
            <w:r w:rsidRPr="00DC6729">
              <w:rPr>
                <w:rFonts w:cs="Arial"/>
              </w:rPr>
              <w:t>20%</w:t>
            </w:r>
          </w:p>
        </w:tc>
      </w:tr>
      <w:tr w:rsidR="00F62139" w:rsidRPr="00DC6729" w:rsidTr="00AD02FF">
        <w:trPr>
          <w:trHeight w:val="315"/>
          <w:jc w:val="center"/>
        </w:trPr>
        <w:tc>
          <w:tcPr>
            <w:tcW w:w="2779" w:type="dxa"/>
            <w:tcBorders>
              <w:left w:val="nil"/>
              <w:right w:val="nil"/>
            </w:tcBorders>
            <w:vAlign w:val="center"/>
          </w:tcPr>
          <w:p w:rsidR="00F62139" w:rsidRPr="00DC6729" w:rsidRDefault="00F62139" w:rsidP="00AD02FF">
            <w:pPr>
              <w:rPr>
                <w:rFonts w:cs="Arial"/>
              </w:rPr>
            </w:pPr>
            <w:r w:rsidRPr="00DC6729">
              <w:rPr>
                <w:rFonts w:cs="Arial"/>
              </w:rPr>
              <w:t>Telecoms &amp; Technology</w:t>
            </w:r>
          </w:p>
        </w:tc>
        <w:tc>
          <w:tcPr>
            <w:tcW w:w="3423" w:type="dxa"/>
            <w:tcBorders>
              <w:left w:val="nil"/>
              <w:right w:val="nil"/>
            </w:tcBorders>
            <w:vAlign w:val="center"/>
          </w:tcPr>
          <w:p w:rsidR="00F62139" w:rsidRPr="00DC6729" w:rsidRDefault="00F62139" w:rsidP="00AD02FF">
            <w:pPr>
              <w:jc w:val="center"/>
              <w:rPr>
                <w:rFonts w:cs="Arial"/>
              </w:rPr>
            </w:pPr>
            <w:r w:rsidRPr="00DC6729">
              <w:rPr>
                <w:rFonts w:cs="Arial"/>
              </w:rPr>
              <w:t>20%</w:t>
            </w:r>
          </w:p>
        </w:tc>
      </w:tr>
      <w:tr w:rsidR="00F62139" w:rsidRPr="00DC6729" w:rsidTr="00AD02FF">
        <w:trPr>
          <w:trHeight w:val="315"/>
          <w:jc w:val="center"/>
        </w:trPr>
        <w:tc>
          <w:tcPr>
            <w:tcW w:w="2779" w:type="dxa"/>
            <w:tcBorders>
              <w:left w:val="nil"/>
              <w:right w:val="nil"/>
            </w:tcBorders>
            <w:vAlign w:val="center"/>
          </w:tcPr>
          <w:p w:rsidR="00F62139" w:rsidRPr="00DC6729" w:rsidRDefault="00F62139" w:rsidP="00AD02FF">
            <w:pPr>
              <w:rPr>
                <w:rFonts w:cs="Arial"/>
              </w:rPr>
            </w:pPr>
            <w:r w:rsidRPr="00DC6729">
              <w:rPr>
                <w:rFonts w:cs="Arial"/>
              </w:rPr>
              <w:t>Banks</w:t>
            </w:r>
          </w:p>
        </w:tc>
        <w:tc>
          <w:tcPr>
            <w:tcW w:w="3423" w:type="dxa"/>
            <w:tcBorders>
              <w:left w:val="nil"/>
              <w:right w:val="nil"/>
            </w:tcBorders>
            <w:vAlign w:val="center"/>
          </w:tcPr>
          <w:p w:rsidR="00F62139" w:rsidRPr="00DC6729" w:rsidRDefault="00F62139" w:rsidP="00AD02FF">
            <w:pPr>
              <w:jc w:val="center"/>
              <w:rPr>
                <w:rFonts w:cs="Arial"/>
              </w:rPr>
            </w:pPr>
            <w:r w:rsidRPr="00DC6729">
              <w:rPr>
                <w:rFonts w:cs="Arial"/>
              </w:rPr>
              <w:t>20%</w:t>
            </w:r>
          </w:p>
        </w:tc>
      </w:tr>
      <w:tr w:rsidR="00F62139" w:rsidRPr="00DC6729" w:rsidTr="00AD02FF">
        <w:trPr>
          <w:trHeight w:val="315"/>
          <w:jc w:val="center"/>
        </w:trPr>
        <w:tc>
          <w:tcPr>
            <w:tcW w:w="2779" w:type="dxa"/>
            <w:tcBorders>
              <w:left w:val="nil"/>
              <w:right w:val="nil"/>
            </w:tcBorders>
            <w:vAlign w:val="center"/>
          </w:tcPr>
          <w:p w:rsidR="00F62139" w:rsidRPr="00DC6729" w:rsidRDefault="00F62139" w:rsidP="00AD02FF">
            <w:pPr>
              <w:rPr>
                <w:rFonts w:cs="Arial"/>
              </w:rPr>
            </w:pPr>
            <w:r w:rsidRPr="00DC6729">
              <w:rPr>
                <w:rFonts w:cs="Arial"/>
              </w:rPr>
              <w:t>Insurance</w:t>
            </w:r>
          </w:p>
        </w:tc>
        <w:tc>
          <w:tcPr>
            <w:tcW w:w="3423" w:type="dxa"/>
            <w:tcBorders>
              <w:left w:val="nil"/>
              <w:right w:val="nil"/>
            </w:tcBorders>
            <w:vAlign w:val="center"/>
          </w:tcPr>
          <w:p w:rsidR="00F62139" w:rsidRPr="00DC6729" w:rsidRDefault="00F62139" w:rsidP="00AD02FF">
            <w:pPr>
              <w:jc w:val="center"/>
              <w:rPr>
                <w:rFonts w:cs="Arial"/>
              </w:rPr>
            </w:pPr>
            <w:r w:rsidRPr="00DC6729">
              <w:rPr>
                <w:rFonts w:cs="Arial"/>
              </w:rPr>
              <w:t>20%</w:t>
            </w:r>
          </w:p>
        </w:tc>
      </w:tr>
      <w:tr w:rsidR="00F62139" w:rsidRPr="00DC6729" w:rsidTr="00AD02FF">
        <w:trPr>
          <w:trHeight w:val="315"/>
          <w:jc w:val="center"/>
        </w:trPr>
        <w:tc>
          <w:tcPr>
            <w:tcW w:w="2779" w:type="dxa"/>
            <w:tcBorders>
              <w:left w:val="nil"/>
              <w:right w:val="nil"/>
            </w:tcBorders>
            <w:vAlign w:val="center"/>
          </w:tcPr>
          <w:p w:rsidR="00F62139" w:rsidRPr="00DC6729" w:rsidRDefault="00F62139" w:rsidP="00AD02FF">
            <w:pPr>
              <w:rPr>
                <w:rFonts w:cs="Arial"/>
              </w:rPr>
            </w:pPr>
            <w:r w:rsidRPr="00DC6729">
              <w:rPr>
                <w:rFonts w:cs="Arial"/>
              </w:rPr>
              <w:t>Other financials</w:t>
            </w:r>
          </w:p>
        </w:tc>
        <w:tc>
          <w:tcPr>
            <w:tcW w:w="3423" w:type="dxa"/>
            <w:tcBorders>
              <w:left w:val="nil"/>
              <w:right w:val="nil"/>
            </w:tcBorders>
            <w:vAlign w:val="center"/>
          </w:tcPr>
          <w:p w:rsidR="00F62139" w:rsidRPr="00DC6729" w:rsidRDefault="00F62139" w:rsidP="00AD02FF">
            <w:pPr>
              <w:jc w:val="center"/>
              <w:rPr>
                <w:rFonts w:cs="Arial"/>
              </w:rPr>
            </w:pPr>
            <w:r w:rsidRPr="00DC6729">
              <w:rPr>
                <w:rFonts w:cs="Arial"/>
              </w:rPr>
              <w:t>20%</w:t>
            </w:r>
          </w:p>
        </w:tc>
      </w:tr>
      <w:tr w:rsidR="00F62139" w:rsidRPr="00DC6729" w:rsidTr="00AD02FF">
        <w:trPr>
          <w:trHeight w:val="315"/>
          <w:jc w:val="center"/>
        </w:trPr>
        <w:tc>
          <w:tcPr>
            <w:tcW w:w="2779" w:type="dxa"/>
            <w:tcBorders>
              <w:left w:val="nil"/>
              <w:right w:val="nil"/>
            </w:tcBorders>
            <w:vAlign w:val="center"/>
          </w:tcPr>
          <w:p w:rsidR="00F62139" w:rsidRPr="00DC6729" w:rsidRDefault="00F62139" w:rsidP="00AD02FF">
            <w:pPr>
              <w:rPr>
                <w:rFonts w:cs="Arial"/>
              </w:rPr>
            </w:pPr>
            <w:r w:rsidRPr="00DC6729">
              <w:rPr>
                <w:rFonts w:cs="Arial"/>
              </w:rPr>
              <w:t>Pharmaceuticals</w:t>
            </w:r>
          </w:p>
        </w:tc>
        <w:tc>
          <w:tcPr>
            <w:tcW w:w="3423" w:type="dxa"/>
            <w:tcBorders>
              <w:left w:val="nil"/>
              <w:right w:val="nil"/>
            </w:tcBorders>
            <w:vAlign w:val="center"/>
          </w:tcPr>
          <w:p w:rsidR="00F62139" w:rsidRPr="00DC6729" w:rsidRDefault="00F62139" w:rsidP="00AD02FF">
            <w:pPr>
              <w:jc w:val="center"/>
              <w:rPr>
                <w:rFonts w:cs="Arial"/>
              </w:rPr>
            </w:pPr>
            <w:r w:rsidRPr="00DC6729">
              <w:rPr>
                <w:rFonts w:cs="Arial"/>
              </w:rPr>
              <w:t>20%</w:t>
            </w:r>
          </w:p>
        </w:tc>
      </w:tr>
      <w:tr w:rsidR="00F62139" w:rsidRPr="00DC6729" w:rsidTr="00AD02FF">
        <w:trPr>
          <w:trHeight w:val="315"/>
          <w:jc w:val="center"/>
        </w:trPr>
        <w:tc>
          <w:tcPr>
            <w:tcW w:w="2779" w:type="dxa"/>
            <w:tcBorders>
              <w:left w:val="nil"/>
              <w:right w:val="nil"/>
            </w:tcBorders>
            <w:vAlign w:val="center"/>
          </w:tcPr>
          <w:p w:rsidR="00F62139" w:rsidRPr="00DC6729" w:rsidRDefault="00F62139" w:rsidP="00AD02FF">
            <w:pPr>
              <w:rPr>
                <w:rFonts w:cs="Arial"/>
              </w:rPr>
            </w:pPr>
            <w:r w:rsidRPr="00DC6729">
              <w:rPr>
                <w:rFonts w:cs="Arial"/>
              </w:rPr>
              <w:t>Autos</w:t>
            </w:r>
          </w:p>
        </w:tc>
        <w:tc>
          <w:tcPr>
            <w:tcW w:w="3423" w:type="dxa"/>
            <w:tcBorders>
              <w:left w:val="nil"/>
              <w:right w:val="nil"/>
            </w:tcBorders>
            <w:vAlign w:val="center"/>
          </w:tcPr>
          <w:p w:rsidR="00F62139" w:rsidRPr="00DC6729" w:rsidRDefault="00F62139" w:rsidP="00AD02FF">
            <w:pPr>
              <w:jc w:val="center"/>
              <w:rPr>
                <w:rFonts w:cs="Arial"/>
              </w:rPr>
            </w:pPr>
            <w:r w:rsidRPr="00DC6729">
              <w:rPr>
                <w:rFonts w:cs="Arial"/>
              </w:rPr>
              <w:t>20%</w:t>
            </w:r>
          </w:p>
        </w:tc>
      </w:tr>
      <w:tr w:rsidR="00F62139" w:rsidRPr="00DC6729" w:rsidTr="00AD02FF">
        <w:trPr>
          <w:trHeight w:val="315"/>
          <w:jc w:val="center"/>
        </w:trPr>
        <w:tc>
          <w:tcPr>
            <w:tcW w:w="2779" w:type="dxa"/>
            <w:tcBorders>
              <w:left w:val="nil"/>
              <w:right w:val="nil"/>
            </w:tcBorders>
            <w:vAlign w:val="center"/>
          </w:tcPr>
          <w:p w:rsidR="00F62139" w:rsidRPr="00DC6729" w:rsidRDefault="00F62139" w:rsidP="00AD02FF">
            <w:pPr>
              <w:rPr>
                <w:rFonts w:cs="Arial"/>
              </w:rPr>
            </w:pPr>
            <w:r w:rsidRPr="00DC6729">
              <w:rPr>
                <w:rFonts w:cs="Arial"/>
              </w:rPr>
              <w:t>General Industrials</w:t>
            </w:r>
          </w:p>
        </w:tc>
        <w:tc>
          <w:tcPr>
            <w:tcW w:w="3423" w:type="dxa"/>
            <w:tcBorders>
              <w:left w:val="nil"/>
              <w:right w:val="nil"/>
            </w:tcBorders>
            <w:vAlign w:val="center"/>
          </w:tcPr>
          <w:p w:rsidR="00F62139" w:rsidRPr="00DC6729" w:rsidRDefault="00F62139" w:rsidP="00AD02FF">
            <w:pPr>
              <w:jc w:val="center"/>
              <w:rPr>
                <w:rFonts w:cs="Arial"/>
              </w:rPr>
            </w:pPr>
            <w:r w:rsidRPr="00DC6729">
              <w:rPr>
                <w:rFonts w:cs="Arial"/>
              </w:rPr>
              <w:t>20%</w:t>
            </w:r>
          </w:p>
        </w:tc>
      </w:tr>
      <w:tr w:rsidR="00F62139" w:rsidRPr="00DC6729" w:rsidTr="00AD02FF">
        <w:trPr>
          <w:trHeight w:val="315"/>
          <w:jc w:val="center"/>
        </w:trPr>
        <w:tc>
          <w:tcPr>
            <w:tcW w:w="2779" w:type="dxa"/>
            <w:tcBorders>
              <w:left w:val="nil"/>
              <w:right w:val="nil"/>
            </w:tcBorders>
            <w:vAlign w:val="center"/>
          </w:tcPr>
          <w:p w:rsidR="00F62139" w:rsidRPr="00DC6729" w:rsidRDefault="00F62139" w:rsidP="00AD02FF">
            <w:pPr>
              <w:rPr>
                <w:rFonts w:cs="Arial"/>
              </w:rPr>
            </w:pPr>
            <w:r w:rsidRPr="00DC6729">
              <w:rPr>
                <w:rFonts w:cs="Arial"/>
              </w:rPr>
              <w:t>Retail</w:t>
            </w:r>
          </w:p>
        </w:tc>
        <w:tc>
          <w:tcPr>
            <w:tcW w:w="3423" w:type="dxa"/>
            <w:tcBorders>
              <w:left w:val="nil"/>
              <w:right w:val="nil"/>
            </w:tcBorders>
            <w:vAlign w:val="center"/>
          </w:tcPr>
          <w:p w:rsidR="00F62139" w:rsidRPr="00DC6729" w:rsidRDefault="00F62139" w:rsidP="00AD02FF">
            <w:pPr>
              <w:jc w:val="center"/>
              <w:rPr>
                <w:rFonts w:cs="Arial"/>
              </w:rPr>
            </w:pPr>
            <w:r w:rsidRPr="00DC6729">
              <w:rPr>
                <w:rFonts w:cs="Arial"/>
              </w:rPr>
              <w:t>20%</w:t>
            </w:r>
          </w:p>
        </w:tc>
      </w:tr>
      <w:tr w:rsidR="00F62139" w:rsidRPr="00EE7E8E" w:rsidTr="00AD02FF">
        <w:trPr>
          <w:trHeight w:val="315"/>
          <w:jc w:val="center"/>
        </w:trPr>
        <w:tc>
          <w:tcPr>
            <w:tcW w:w="2779" w:type="dxa"/>
            <w:tcBorders>
              <w:left w:val="nil"/>
              <w:bottom w:val="nil"/>
              <w:right w:val="nil"/>
            </w:tcBorders>
            <w:vAlign w:val="center"/>
          </w:tcPr>
          <w:p w:rsidR="00F62139" w:rsidRPr="00DC6729" w:rsidRDefault="00F62139" w:rsidP="00AD02FF">
            <w:pPr>
              <w:rPr>
                <w:rFonts w:cs="Arial"/>
              </w:rPr>
            </w:pPr>
            <w:r w:rsidRPr="00DC6729">
              <w:rPr>
                <w:rFonts w:cs="Arial"/>
              </w:rPr>
              <w:t>Diversified</w:t>
            </w:r>
            <w:r>
              <w:rPr>
                <w:rFonts w:cs="Arial"/>
              </w:rPr>
              <w:t xml:space="preserve"> </w:t>
            </w:r>
          </w:p>
        </w:tc>
        <w:tc>
          <w:tcPr>
            <w:tcW w:w="3423" w:type="dxa"/>
            <w:tcBorders>
              <w:left w:val="nil"/>
              <w:bottom w:val="nil"/>
              <w:right w:val="nil"/>
            </w:tcBorders>
            <w:vAlign w:val="center"/>
          </w:tcPr>
          <w:p w:rsidR="00F62139" w:rsidRPr="00EE7E8E" w:rsidRDefault="00F62139" w:rsidP="00AD02FF">
            <w:pPr>
              <w:jc w:val="center"/>
              <w:rPr>
                <w:rFonts w:cs="Arial"/>
              </w:rPr>
            </w:pPr>
            <w:r w:rsidRPr="00DC6729">
              <w:rPr>
                <w:rFonts w:cs="Arial"/>
              </w:rPr>
              <w:t>20%</w:t>
            </w:r>
          </w:p>
        </w:tc>
      </w:tr>
    </w:tbl>
    <w:p w:rsidR="00F62139" w:rsidRDefault="00F62139" w:rsidP="00F62139">
      <w:pPr>
        <w:rPr>
          <w:b/>
        </w:rPr>
      </w:pPr>
    </w:p>
    <w:p w:rsidR="00F62139" w:rsidRPr="000567D8" w:rsidRDefault="00F62139" w:rsidP="00F62139"/>
    <w:p w:rsidR="00037164" w:rsidRPr="00F62139" w:rsidRDefault="00037164" w:rsidP="00F62139"/>
    <w:sectPr w:rsidR="00037164" w:rsidRPr="00F62139" w:rsidSect="00A33A44">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B43" w:rsidRDefault="00DA5B43">
      <w:pPr>
        <w:spacing w:before="0" w:line="240" w:lineRule="auto"/>
      </w:pPr>
      <w:r>
        <w:separator/>
      </w:r>
    </w:p>
  </w:endnote>
  <w:endnote w:type="continuationSeparator" w:id="0">
    <w:p w:rsidR="00DA5B43" w:rsidRDefault="00DA5B43">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0B" w:rsidRDefault="00615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Outline Content"/>
      <w:tag w:val="FBFBA718C46443D68F07B337BC360809DOCID_FOOTER"/>
      <w:id w:val="1704517203"/>
      <w:placeholder>
        <w:docPart w:val="DDB8BF42DF1E48F9BDB8FD9C823487EE"/>
      </w:placeholder>
    </w:sdtPr>
    <w:sdtEndPr/>
    <w:sdtContent>
      <w:p w:rsidR="00AD02FF" w:rsidRDefault="00DF4212" w:rsidP="00917D4A">
        <w:pPr>
          <w:pStyle w:val="DocID"/>
        </w:pPr>
        <w:r>
          <w:t>M-39877457-52</w:t>
        </w:r>
      </w:p>
    </w:sdtContent>
  </w:sdt>
  <w:p w:rsidR="00AD02FF" w:rsidRPr="00A43792" w:rsidRDefault="00C050EB" w:rsidP="00A43792">
    <w:pPr>
      <w:pStyle w:val="Footer"/>
      <w:tabs>
        <w:tab w:val="clear" w:pos="4513"/>
        <w:tab w:val="clear" w:pos="9026"/>
        <w:tab w:val="right" w:pos="9639"/>
      </w:tabs>
    </w:pPr>
    <w:r>
      <w:t>Kingswood</w:t>
    </w:r>
    <w:r w:rsidR="003F0C7E">
      <w:t xml:space="preserve"> ESG Bond</w:t>
    </w:r>
    <w:r w:rsidR="00AD02FF">
      <w:t xml:space="preserve"> Fund Supplement</w:t>
    </w:r>
    <w:r w:rsidR="00AD02FF" w:rsidRPr="00A43792">
      <w:tab/>
    </w:r>
    <w:r w:rsidR="00AD02FF" w:rsidRPr="00A43792">
      <w:fldChar w:fldCharType="begin"/>
    </w:r>
    <w:r w:rsidR="00AD02FF" w:rsidRPr="00A43792">
      <w:instrText xml:space="preserve"> PAGE   \* MERGEFORMAT </w:instrText>
    </w:r>
    <w:r w:rsidR="00AD02FF" w:rsidRPr="00A43792">
      <w:fldChar w:fldCharType="separate"/>
    </w:r>
    <w:r w:rsidR="00DF4212">
      <w:rPr>
        <w:noProof/>
      </w:rPr>
      <w:t>8</w:t>
    </w:r>
    <w:r w:rsidR="00AD02FF" w:rsidRPr="00A4379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FF" w:rsidRDefault="00AD02FF" w:rsidP="00A33A44">
    <w:pPr>
      <w:pStyle w:val="Footer"/>
      <w:tabs>
        <w:tab w:val="clear" w:pos="4513"/>
        <w:tab w:val="clear" w:pos="9026"/>
        <w:tab w:val="left" w:pos="15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B43" w:rsidRDefault="00DA5B43">
      <w:pPr>
        <w:spacing w:before="0" w:line="240" w:lineRule="auto"/>
      </w:pPr>
      <w:r>
        <w:separator/>
      </w:r>
    </w:p>
  </w:footnote>
  <w:footnote w:type="continuationSeparator" w:id="0">
    <w:p w:rsidR="00DA5B43" w:rsidRDefault="00DA5B43">
      <w:pPr>
        <w:spacing w:before="0" w:line="240" w:lineRule="auto"/>
      </w:pPr>
      <w:r>
        <w:continuationSeparator/>
      </w:r>
    </w:p>
  </w:footnote>
  <w:footnote w:id="1">
    <w:p w:rsidR="0071175C" w:rsidRPr="0071175C" w:rsidRDefault="0071175C">
      <w:pPr>
        <w:pStyle w:val="FootnoteText"/>
        <w:rPr>
          <w:lang w:val="en-US"/>
        </w:rPr>
      </w:pPr>
      <w:r>
        <w:rPr>
          <w:rStyle w:val="FootnoteReference"/>
        </w:rPr>
        <w:footnoteRef/>
      </w:r>
      <w:r>
        <w:t xml:space="preserve"> </w:t>
      </w:r>
      <w:r>
        <w:rPr>
          <w:lang w:val="en-US"/>
        </w:rPr>
        <w:t>TBC by KW if still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0B" w:rsidRDefault="00615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0B" w:rsidRDefault="006157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0B" w:rsidRDefault="006157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2041A1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105A77E0"/>
    <w:multiLevelType w:val="hybridMultilevel"/>
    <w:tmpl w:val="D9AAD186"/>
    <w:lvl w:ilvl="0" w:tplc="6CFEA672">
      <w:start w:val="1"/>
      <w:numFmt w:val="decimal"/>
      <w:pStyle w:val="Style1"/>
      <w:lvlText w:val="(%1)"/>
      <w:lvlJc w:val="left"/>
      <w:pPr>
        <w:ind w:left="7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2" w15:restartNumberingAfterBreak="0">
    <w:nsid w:val="268E3C47"/>
    <w:multiLevelType w:val="multilevel"/>
    <w:tmpl w:val="64069614"/>
    <w:name w:val="Appendix"/>
    <w:lvl w:ilvl="0">
      <w:start w:val="1"/>
      <w:numFmt w:val="decimal"/>
      <w:pStyle w:val="AppendixHeading"/>
      <w:suff w:val="nothing"/>
      <w:lvlText w:val="Appendix %1"/>
      <w:lvlJc w:val="left"/>
      <w:pPr>
        <w:ind w:left="0" w:firstLine="0"/>
      </w:pPr>
      <w:rPr>
        <w:rFonts w:ascii="Arial Bold" w:hAnsi="Arial Bold" w:hint="default"/>
        <w:b/>
        <w:i w:val="0"/>
        <w:caps/>
        <w:strike w:val="0"/>
        <w:dstrike w:val="0"/>
        <w:vanish w:val="0"/>
        <w:sz w:val="19"/>
        <w:vertAlign w:val="baseline"/>
      </w:rPr>
    </w:lvl>
    <w:lvl w:ilvl="1">
      <w:start w:val="1"/>
      <w:numFmt w:val="decimal"/>
      <w:pStyle w:val="AppendixPart"/>
      <w:suff w:val="nothing"/>
      <w:lvlText w:val="Part %2"/>
      <w:lvlJc w:val="left"/>
      <w:pPr>
        <w:ind w:left="0" w:firstLine="0"/>
      </w:pPr>
      <w:rPr>
        <w:rFonts w:ascii="Arial" w:hAnsi="Arial" w:hint="default"/>
        <w:b/>
        <w:i w:val="0"/>
        <w:caps w:val="0"/>
        <w:strike w:val="0"/>
        <w:dstrike w:val="0"/>
        <w:vanish w:val="0"/>
        <w:sz w:val="19"/>
        <w:vertAlign w:val="baseline"/>
      </w:rPr>
    </w:lvl>
    <w:lvl w:ilvl="2">
      <w:start w:val="1"/>
      <w:numFmt w:val="decimal"/>
      <w:pStyle w:val="Appendix1Number"/>
      <w:lvlText w:val="%3"/>
      <w:lvlJc w:val="left"/>
      <w:pPr>
        <w:ind w:left="624" w:hanging="624"/>
      </w:pPr>
      <w:rPr>
        <w:rFonts w:ascii="Arial" w:hAnsi="Arial" w:hint="default"/>
        <w:b w:val="0"/>
        <w:i w:val="0"/>
        <w:sz w:val="19"/>
      </w:rPr>
    </w:lvl>
    <w:lvl w:ilvl="3">
      <w:start w:val="1"/>
      <w:numFmt w:val="decimal"/>
      <w:pStyle w:val="Appendix2Number"/>
      <w:lvlText w:val="%3.%4"/>
      <w:lvlJc w:val="left"/>
      <w:pPr>
        <w:ind w:left="624" w:hanging="624"/>
      </w:pPr>
      <w:rPr>
        <w:rFonts w:ascii="Arial" w:hAnsi="Arial" w:hint="default"/>
        <w:b w:val="0"/>
        <w:i w:val="0"/>
        <w:caps w:val="0"/>
        <w:strike w:val="0"/>
        <w:dstrike w:val="0"/>
        <w:vanish w:val="0"/>
        <w:sz w:val="19"/>
        <w:vertAlign w:val="baseline"/>
      </w:rPr>
    </w:lvl>
    <w:lvl w:ilvl="4">
      <w:start w:val="1"/>
      <w:numFmt w:val="decimal"/>
      <w:pStyle w:val="Appendix3Number"/>
      <w:lvlText w:val="%3.%4.%5"/>
      <w:lvlJc w:val="left"/>
      <w:pPr>
        <w:ind w:left="1361" w:hanging="737"/>
      </w:pPr>
      <w:rPr>
        <w:rFonts w:ascii="Arial" w:hAnsi="Arial" w:hint="default"/>
        <w:b w:val="0"/>
        <w:i w:val="0"/>
        <w:caps w:val="0"/>
        <w:strike w:val="0"/>
        <w:dstrike w:val="0"/>
        <w:vanish w:val="0"/>
        <w:sz w:val="19"/>
        <w:vertAlign w:val="baseline"/>
      </w:rPr>
    </w:lvl>
    <w:lvl w:ilvl="5">
      <w:start w:val="1"/>
      <w:numFmt w:val="lowerLetter"/>
      <w:pStyle w:val="Appendix4Number"/>
      <w:lvlText w:val="(%6)"/>
      <w:lvlJc w:val="left"/>
      <w:pPr>
        <w:ind w:left="1814" w:hanging="453"/>
      </w:pPr>
      <w:rPr>
        <w:rFonts w:ascii="Arial" w:hAnsi="Arial" w:hint="default"/>
        <w:b w:val="0"/>
        <w:i w:val="0"/>
        <w:caps w:val="0"/>
        <w:strike w:val="0"/>
        <w:dstrike w:val="0"/>
        <w:vanish w:val="0"/>
        <w:sz w:val="19"/>
        <w:vertAlign w:val="baseline"/>
      </w:rPr>
    </w:lvl>
    <w:lvl w:ilvl="6">
      <w:start w:val="1"/>
      <w:numFmt w:val="lowerRoman"/>
      <w:pStyle w:val="Appendix5Number"/>
      <w:lvlText w:val="(%7)"/>
      <w:lvlJc w:val="left"/>
      <w:pPr>
        <w:ind w:left="2211" w:hanging="397"/>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sz w:val="19"/>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3" w15:restartNumberingAfterBreak="0">
    <w:nsid w:val="34794BA9"/>
    <w:multiLevelType w:val="hybridMultilevel"/>
    <w:tmpl w:val="A0462E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38124B88"/>
    <w:multiLevelType w:val="multilevel"/>
    <w:tmpl w:val="7B12067A"/>
    <w:name w:val="ALGNumbering"/>
    <w:lvl w:ilvl="0">
      <w:start w:val="1"/>
      <w:numFmt w:val="decimal"/>
      <w:pStyle w:val="ALGNo1"/>
      <w:lvlText w:val="%1"/>
      <w:lvlJc w:val="left"/>
      <w:pPr>
        <w:ind w:left="624" w:hanging="624"/>
      </w:pPr>
      <w:rPr>
        <w:rFonts w:ascii="Arial" w:hAnsi="Arial" w:hint="default"/>
        <w:b w:val="0"/>
        <w:i w:val="0"/>
        <w:caps w:val="0"/>
        <w:strike w:val="0"/>
        <w:dstrike w:val="0"/>
        <w:vanish w:val="0"/>
        <w:color w:val="auto"/>
        <w:sz w:val="19"/>
        <w:vertAlign w:val="baseline"/>
      </w:rPr>
    </w:lvl>
    <w:lvl w:ilvl="1">
      <w:start w:val="1"/>
      <w:numFmt w:val="decimal"/>
      <w:pStyle w:val="ALGNo2"/>
      <w:lvlText w:val="%1.%2"/>
      <w:lvlJc w:val="left"/>
      <w:pPr>
        <w:ind w:left="624" w:hanging="624"/>
      </w:pPr>
      <w:rPr>
        <w:rFonts w:ascii="Arial" w:hAnsi="Arial" w:hint="default"/>
        <w:b w:val="0"/>
        <w:i w:val="0"/>
        <w:caps w:val="0"/>
        <w:strike w:val="0"/>
        <w:dstrike w:val="0"/>
        <w:vanish w:val="0"/>
        <w:sz w:val="19"/>
        <w:vertAlign w:val="baseline"/>
      </w:rPr>
    </w:lvl>
    <w:lvl w:ilvl="2">
      <w:start w:val="1"/>
      <w:numFmt w:val="decimal"/>
      <w:pStyle w:val="ALGNo3"/>
      <w:lvlText w:val="%1.%2.%3"/>
      <w:lvlJc w:val="left"/>
      <w:pPr>
        <w:ind w:left="1474" w:hanging="850"/>
      </w:pPr>
      <w:rPr>
        <w:rFonts w:ascii="Arial" w:hAnsi="Arial" w:hint="default"/>
        <w:b w:val="0"/>
        <w:i w:val="0"/>
        <w:caps w:val="0"/>
        <w:strike w:val="0"/>
        <w:dstrike w:val="0"/>
        <w:vanish w:val="0"/>
        <w:sz w:val="19"/>
        <w:vertAlign w:val="baseline"/>
      </w:rPr>
    </w:lvl>
    <w:lvl w:ilvl="3">
      <w:start w:val="1"/>
      <w:numFmt w:val="lowerLetter"/>
      <w:pStyle w:val="ALGNo4"/>
      <w:lvlText w:val="(%4)"/>
      <w:lvlJc w:val="left"/>
      <w:pPr>
        <w:ind w:left="1814" w:hanging="340"/>
      </w:pPr>
      <w:rPr>
        <w:rFonts w:ascii="Arial" w:hAnsi="Arial" w:hint="default"/>
        <w:b w:val="0"/>
        <w:i w:val="0"/>
        <w:caps w:val="0"/>
        <w:strike w:val="0"/>
        <w:dstrike w:val="0"/>
        <w:vanish w:val="0"/>
        <w:sz w:val="19"/>
        <w:vertAlign w:val="baseline"/>
      </w:rPr>
    </w:lvl>
    <w:lvl w:ilvl="4">
      <w:start w:val="1"/>
      <w:numFmt w:val="lowerRoman"/>
      <w:pStyle w:val="ALGNo5"/>
      <w:lvlText w:val="(%5)"/>
      <w:lvlJc w:val="left"/>
      <w:pPr>
        <w:ind w:left="2268" w:hanging="454"/>
      </w:pPr>
      <w:rPr>
        <w:rFonts w:ascii="Arial" w:hAnsi="Arial" w:hint="default"/>
        <w:b w:val="0"/>
        <w:i w:val="0"/>
        <w:caps w:val="0"/>
        <w:strike w:val="0"/>
        <w:dstrike w:val="0"/>
        <w:vanish w:val="0"/>
        <w:sz w:val="19"/>
        <w:vertAlign w:val="baseline"/>
      </w:rPr>
    </w:lvl>
    <w:lvl w:ilvl="5">
      <w:start w:val="1"/>
      <w:numFmt w:val="upperLetter"/>
      <w:pStyle w:val="ALGNo6"/>
      <w:lvlText w:val="(%6)"/>
      <w:lvlJc w:val="left"/>
      <w:pPr>
        <w:ind w:left="2552" w:hanging="341"/>
      </w:pPr>
      <w:rPr>
        <w:rFonts w:ascii="Arial" w:hAnsi="Arial" w:hint="default"/>
        <w:b w:val="0"/>
        <w:i w:val="0"/>
        <w:caps w:val="0"/>
        <w:strike w:val="0"/>
        <w:dstrike w:val="0"/>
        <w:vanish w:val="0"/>
        <w:sz w:val="19"/>
        <w:vertAlign w:val="baseline"/>
      </w:rPr>
    </w:lvl>
    <w:lvl w:ilvl="6">
      <w:start w:val="1"/>
      <w:numFmt w:val="decimal"/>
      <w:pStyle w:val="ALGNo7"/>
      <w:lvlText w:val="(%7)"/>
      <w:lvlJc w:val="left"/>
      <w:pPr>
        <w:ind w:left="2948" w:hanging="34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5" w15:restartNumberingAfterBreak="0">
    <w:nsid w:val="382C3F96"/>
    <w:multiLevelType w:val="multilevel"/>
    <w:tmpl w:val="8AA42982"/>
    <w:name w:val="Bullet L2"/>
    <w:lvl w:ilvl="0">
      <w:start w:val="1"/>
      <w:numFmt w:val="bullet"/>
      <w:pStyle w:val="BulletL1"/>
      <w:lvlText w:val=""/>
      <w:lvlJc w:val="left"/>
      <w:pPr>
        <w:ind w:left="624" w:hanging="624"/>
      </w:pPr>
      <w:rPr>
        <w:rFonts w:ascii="Symbol" w:hAnsi="Symbol" w:hint="default"/>
        <w:b w:val="0"/>
        <w:i w:val="0"/>
        <w:caps w:val="0"/>
        <w:strike w:val="0"/>
        <w:dstrike w:val="0"/>
        <w:vanish w:val="0"/>
        <w:color w:val="auto"/>
        <w:sz w:val="19"/>
        <w:vertAlign w:val="baseline"/>
      </w:rPr>
    </w:lvl>
    <w:lvl w:ilvl="1">
      <w:start w:val="1"/>
      <w:numFmt w:val="bullet"/>
      <w:lvlRestart w:val="0"/>
      <w:pStyle w:val="BulletL2"/>
      <w:lvlText w:val=""/>
      <w:lvlJc w:val="left"/>
      <w:pPr>
        <w:tabs>
          <w:tab w:val="num" w:pos="624"/>
        </w:tabs>
        <w:ind w:left="1361" w:hanging="737"/>
      </w:pPr>
      <w:rPr>
        <w:rFonts w:ascii="Symbol" w:hAnsi="Symbol" w:hint="default"/>
        <w:b w:val="0"/>
        <w:i w:val="0"/>
        <w:caps w:val="0"/>
        <w:strike w:val="0"/>
        <w:dstrike w:val="0"/>
        <w:vanish w:val="0"/>
        <w:color w:val="auto"/>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6" w15:restartNumberingAfterBreak="0">
    <w:nsid w:val="3A5F15ED"/>
    <w:multiLevelType w:val="multilevel"/>
    <w:tmpl w:val="293A1254"/>
    <w:name w:val="Schedule"/>
    <w:lvl w:ilvl="0">
      <w:start w:val="1"/>
      <w:numFmt w:val="decimal"/>
      <w:pStyle w:val="ScheduleHeading"/>
      <w:suff w:val="nothing"/>
      <w:lvlText w:val="Schedu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Part"/>
      <w:suff w:val="nothing"/>
      <w:lvlText w:val="Part %2  "/>
      <w:lvlJc w:val="left"/>
      <w:pPr>
        <w:ind w:left="0" w:firstLine="0"/>
      </w:pPr>
      <w:rPr>
        <w:rFonts w:hint="default"/>
      </w:rPr>
    </w:lvl>
    <w:lvl w:ilvl="2">
      <w:start w:val="1"/>
      <w:numFmt w:val="decimal"/>
      <w:lvlRestart w:val="1"/>
      <w:pStyle w:val="Schedule1Number"/>
      <w:lvlText w:val="%3"/>
      <w:lvlJc w:val="left"/>
      <w:pPr>
        <w:ind w:left="624" w:hanging="624"/>
      </w:pPr>
      <w:rPr>
        <w:rFonts w:ascii="Arial" w:hAnsi="Arial" w:hint="default"/>
        <w:b w:val="0"/>
        <w:i w:val="0"/>
        <w:caps w:val="0"/>
        <w:strike w:val="0"/>
        <w:dstrike w:val="0"/>
        <w:vanish w:val="0"/>
        <w:sz w:val="19"/>
        <w:vertAlign w:val="baseline"/>
      </w:rPr>
    </w:lvl>
    <w:lvl w:ilvl="3">
      <w:start w:val="1"/>
      <w:numFmt w:val="decimal"/>
      <w:pStyle w:val="Schedule2Number"/>
      <w:lvlText w:val="%3.%4"/>
      <w:lvlJc w:val="left"/>
      <w:pPr>
        <w:ind w:left="624" w:hanging="624"/>
      </w:pPr>
      <w:rPr>
        <w:rFonts w:ascii="Arial" w:hAnsi="Arial" w:hint="default"/>
        <w:b w:val="0"/>
        <w:i w:val="0"/>
        <w:sz w:val="19"/>
      </w:rPr>
    </w:lvl>
    <w:lvl w:ilvl="4">
      <w:start w:val="1"/>
      <w:numFmt w:val="decimal"/>
      <w:pStyle w:val="Schedule3Number"/>
      <w:lvlText w:val="%3.%4.%5"/>
      <w:lvlJc w:val="left"/>
      <w:pPr>
        <w:ind w:left="1474" w:hanging="850"/>
      </w:pPr>
      <w:rPr>
        <w:rFonts w:ascii="Arial" w:hAnsi="Arial" w:hint="default"/>
        <w:b w:val="0"/>
        <w:i w:val="0"/>
        <w:sz w:val="19"/>
      </w:rPr>
    </w:lvl>
    <w:lvl w:ilvl="5">
      <w:start w:val="1"/>
      <w:numFmt w:val="lowerLetter"/>
      <w:pStyle w:val="Schedule4Number"/>
      <w:lvlText w:val="(%6)"/>
      <w:lvlJc w:val="left"/>
      <w:pPr>
        <w:ind w:left="1814" w:hanging="340"/>
      </w:pPr>
      <w:rPr>
        <w:rFonts w:ascii="Arial" w:hAnsi="Arial" w:hint="default"/>
        <w:b w:val="0"/>
        <w:i w:val="0"/>
        <w:sz w:val="19"/>
      </w:rPr>
    </w:lvl>
    <w:lvl w:ilvl="6">
      <w:start w:val="1"/>
      <w:numFmt w:val="lowerRoman"/>
      <w:pStyle w:val="Schedule5Number"/>
      <w:lvlText w:val="(%7)"/>
      <w:lvlJc w:val="left"/>
      <w:pPr>
        <w:ind w:left="2155" w:hanging="341"/>
      </w:pPr>
      <w:rPr>
        <w:rFonts w:ascii="Arial" w:hAnsi="Arial" w:hint="default"/>
        <w:b w:val="0"/>
        <w:i w:val="0"/>
        <w:sz w:val="19"/>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7" w15:restartNumberingAfterBreak="0">
    <w:nsid w:val="3FF02991"/>
    <w:multiLevelType w:val="multilevel"/>
    <w:tmpl w:val="4322C77C"/>
    <w:name w:val="Definition"/>
    <w:lvl w:ilvl="0">
      <w:start w:val="1"/>
      <w:numFmt w:val="none"/>
      <w:pStyle w:val="Definition"/>
      <w:suff w:val="nothing"/>
      <w:lvlText w:val=""/>
      <w:lvlJc w:val="left"/>
      <w:pPr>
        <w:ind w:left="624" w:firstLine="0"/>
      </w:pPr>
      <w:rPr>
        <w:rFonts w:ascii="Arial" w:hAnsi="Arial" w:hint="default"/>
        <w:b w:val="0"/>
        <w:i w:val="0"/>
        <w:caps w:val="0"/>
        <w:strike w:val="0"/>
        <w:dstrike w:val="0"/>
        <w:vanish w:val="0"/>
        <w:sz w:val="19"/>
        <w:vertAlign w:val="baseline"/>
      </w:rPr>
    </w:lvl>
    <w:lvl w:ilvl="1">
      <w:start w:val="1"/>
      <w:numFmt w:val="lowerLetter"/>
      <w:pStyle w:val="Definitiona"/>
      <w:lvlText w:val="%1(%2)"/>
      <w:lvlJc w:val="left"/>
      <w:pPr>
        <w:ind w:left="1361" w:hanging="737"/>
      </w:pPr>
      <w:rPr>
        <w:rFonts w:ascii="Arial" w:hAnsi="Arial" w:hint="default"/>
        <w:b w:val="0"/>
        <w:i w:val="0"/>
        <w:caps w:val="0"/>
        <w:strike w:val="0"/>
        <w:dstrike w:val="0"/>
        <w:vanish w:val="0"/>
        <w:sz w:val="19"/>
        <w:vertAlign w:val="baseline"/>
      </w:rPr>
    </w:lvl>
    <w:lvl w:ilvl="2">
      <w:start w:val="1"/>
      <w:numFmt w:val="lowerRoman"/>
      <w:pStyle w:val="Definitioni"/>
      <w:lvlText w:val="%1(%3)"/>
      <w:lvlJc w:val="left"/>
      <w:pPr>
        <w:ind w:left="1814" w:hanging="453"/>
      </w:pPr>
      <w:rPr>
        <w:rFonts w:ascii="Arial" w:hAnsi="Arial" w:hint="default"/>
        <w:b w:val="0"/>
        <w:i w:val="0"/>
        <w:caps w:val="0"/>
        <w:strike w:val="0"/>
        <w:dstrike w:val="0"/>
        <w:vanish w:val="0"/>
        <w:sz w:val="19"/>
        <w:vertAlign w:val="baseline"/>
      </w:rPr>
    </w:lvl>
    <w:lvl w:ilvl="3">
      <w:start w:val="1"/>
      <w:numFmt w:val="upperLetter"/>
      <w:pStyle w:val="DefinitionA0"/>
      <w:lvlText w:val="%1(%4)"/>
      <w:lvlJc w:val="left"/>
      <w:pPr>
        <w:ind w:left="2211" w:hanging="397"/>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5">
      <w:start w:val="1"/>
      <w:numFmt w:val="none"/>
      <w:lvlRestart w:val="0"/>
      <w:suff w:val="nothing"/>
      <w:lvlText w:val="%6%1"/>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8" w15:restartNumberingAfterBreak="0">
    <w:nsid w:val="40635629"/>
    <w:multiLevelType w:val="multilevel"/>
    <w:tmpl w:val="4B4C20CE"/>
    <w:name w:val="Parties"/>
    <w:lvl w:ilvl="0">
      <w:start w:val="1"/>
      <w:numFmt w:val="decimal"/>
      <w:pStyle w:val="Parties"/>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9" w15:restartNumberingAfterBreak="0">
    <w:nsid w:val="4E682DEC"/>
    <w:multiLevelType w:val="hybridMultilevel"/>
    <w:tmpl w:val="71122E72"/>
    <w:lvl w:ilvl="0" w:tplc="7E1EA9D2">
      <w:start w:val="1"/>
      <w:numFmt w:val="decimal"/>
      <w:pStyle w:val="PrecNote1"/>
      <w:lvlText w:val="%1"/>
      <w:lvlJc w:val="left"/>
      <w:pPr>
        <w:ind w:left="720" w:hanging="360"/>
      </w:pPr>
      <w:rPr>
        <w:rFonts w:hint="default"/>
        <w:sz w:val="19"/>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5B424B76"/>
    <w:multiLevelType w:val="multilevel"/>
    <w:tmpl w:val="9BAA40E8"/>
    <w:lvl w:ilvl="0">
      <w:start w:val="1"/>
      <w:numFmt w:val="decimal"/>
      <w:lvlText w:val="%1."/>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20" w:hanging="720"/>
      </w:pPr>
      <w:rPr>
        <w:rFonts w:ascii="Arial" w:hAnsi="Arial" w:hint="default"/>
        <w:b w:val="0"/>
        <w:i w:val="0"/>
        <w:sz w:val="20"/>
      </w:rPr>
    </w:lvl>
    <w:lvl w:ilvl="2">
      <w:start w:val="1"/>
      <w:numFmt w:val="decimal"/>
      <w:lvlText w:val="%1.%2.%3."/>
      <w:lvlJc w:val="left"/>
      <w:pPr>
        <w:tabs>
          <w:tab w:val="num" w:pos="1644"/>
        </w:tabs>
        <w:ind w:left="1644" w:hanging="924"/>
      </w:pPr>
      <w:rPr>
        <w:rFonts w:ascii="Arial" w:hAnsi="Arial" w:hint="default"/>
        <w:b w:val="0"/>
        <w:i w:val="0"/>
        <w:sz w:val="20"/>
      </w:rPr>
    </w:lvl>
    <w:lvl w:ilvl="3">
      <w:start w:val="1"/>
      <w:numFmt w:val="decimal"/>
      <w:lvlText w:val="(%4)"/>
      <w:lvlJc w:val="left"/>
      <w:pPr>
        <w:tabs>
          <w:tab w:val="num" w:pos="2160"/>
        </w:tabs>
        <w:ind w:left="2160" w:hanging="516"/>
      </w:pPr>
      <w:rPr>
        <w:rFonts w:ascii="Arial" w:hAnsi="Arial" w:hint="default"/>
        <w:b w:val="0"/>
        <w:i w:val="0"/>
        <w:sz w:val="20"/>
      </w:rPr>
    </w:lvl>
    <w:lvl w:ilvl="4">
      <w:start w:val="1"/>
      <w:numFmt w:val="lowerLetter"/>
      <w:lvlText w:val="(%5)"/>
      <w:lvlJc w:val="left"/>
      <w:pPr>
        <w:tabs>
          <w:tab w:val="num" w:pos="2880"/>
        </w:tabs>
        <w:ind w:left="2880" w:hanging="720"/>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1" w15:restartNumberingAfterBreak="0">
    <w:nsid w:val="64514964"/>
    <w:multiLevelType w:val="multilevel"/>
    <w:tmpl w:val="98B4C868"/>
    <w:name w:val="Recitals"/>
    <w:lvl w:ilvl="0">
      <w:start w:val="1"/>
      <w:numFmt w:val="upperLetter"/>
      <w:pStyle w:val="RecitalsA"/>
      <w:lvlText w:val="(%1)"/>
      <w:lvlJc w:val="left"/>
      <w:pPr>
        <w:ind w:left="624" w:hanging="624"/>
      </w:pPr>
      <w:rPr>
        <w:rFonts w:ascii="Arial" w:hAnsi="Arial" w:hint="default"/>
        <w:b w:val="0"/>
        <w:i w:val="0"/>
        <w:caps w:val="0"/>
        <w:strike w:val="0"/>
        <w:dstrike w:val="0"/>
        <w:vanish w:val="0"/>
        <w:sz w:val="19"/>
        <w:vertAlign w:val="baseline"/>
      </w:rPr>
    </w:lvl>
    <w:lvl w:ilvl="1">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2">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3">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4">
      <w:start w:val="1"/>
      <w:numFmt w:val="none"/>
      <w:lvlRestart w:val="0"/>
      <w:suff w:val="nothing"/>
      <w:lvlText w:val=""/>
      <w:lvlJc w:val="left"/>
      <w:pPr>
        <w:ind w:left="0" w:firstLine="0"/>
      </w:pPr>
      <w:rPr>
        <w:rFonts w:ascii="Arial" w:hAnsi="Arial" w:hint="default"/>
        <w:b w:val="0"/>
        <w:i w:val="0"/>
        <w:sz w:val="19"/>
      </w:rPr>
    </w:lvl>
    <w:lvl w:ilvl="5">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6">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2" w15:restartNumberingAfterBreak="0">
    <w:nsid w:val="6AE770D3"/>
    <w:multiLevelType w:val="hybridMultilevel"/>
    <w:tmpl w:val="6346F3B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76F60D4E"/>
    <w:multiLevelType w:val="hybridMultilevel"/>
    <w:tmpl w:val="1B8075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11"/>
  </w:num>
  <w:num w:numId="3">
    <w:abstractNumId w:val="4"/>
  </w:num>
  <w:num w:numId="4">
    <w:abstractNumId w:val="7"/>
  </w:num>
  <w:num w:numId="5">
    <w:abstractNumId w:val="6"/>
  </w:num>
  <w:num w:numId="6">
    <w:abstractNumId w:val="2"/>
  </w:num>
  <w:num w:numId="7">
    <w:abstractNumId w:val="5"/>
  </w:num>
  <w:num w:numId="8">
    <w:abstractNumId w:val="9"/>
  </w:num>
  <w:num w:numId="9">
    <w:abstractNumId w:val="0"/>
  </w:num>
  <w:num w:numId="10">
    <w:abstractNumId w:val="1"/>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6" w:allStyles="0" w:customStyles="1"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164"/>
    <w:rsid w:val="00002888"/>
    <w:rsid w:val="00003FE8"/>
    <w:rsid w:val="00004587"/>
    <w:rsid w:val="0001448C"/>
    <w:rsid w:val="000148E1"/>
    <w:rsid w:val="000269E3"/>
    <w:rsid w:val="00027781"/>
    <w:rsid w:val="0003195B"/>
    <w:rsid w:val="000333CE"/>
    <w:rsid w:val="00034276"/>
    <w:rsid w:val="00037164"/>
    <w:rsid w:val="0003784A"/>
    <w:rsid w:val="000404F5"/>
    <w:rsid w:val="00040828"/>
    <w:rsid w:val="0004393C"/>
    <w:rsid w:val="000454B7"/>
    <w:rsid w:val="00050979"/>
    <w:rsid w:val="00050A84"/>
    <w:rsid w:val="0005229E"/>
    <w:rsid w:val="00052570"/>
    <w:rsid w:val="00053828"/>
    <w:rsid w:val="00053B5C"/>
    <w:rsid w:val="00053DDE"/>
    <w:rsid w:val="000546F1"/>
    <w:rsid w:val="00055312"/>
    <w:rsid w:val="0005605C"/>
    <w:rsid w:val="0006094B"/>
    <w:rsid w:val="00061134"/>
    <w:rsid w:val="000644CF"/>
    <w:rsid w:val="00064E71"/>
    <w:rsid w:val="0006643D"/>
    <w:rsid w:val="0006677F"/>
    <w:rsid w:val="00067DFF"/>
    <w:rsid w:val="00070589"/>
    <w:rsid w:val="00074C3B"/>
    <w:rsid w:val="00074CBF"/>
    <w:rsid w:val="00074DD4"/>
    <w:rsid w:val="00075887"/>
    <w:rsid w:val="00076127"/>
    <w:rsid w:val="00077A30"/>
    <w:rsid w:val="0008258B"/>
    <w:rsid w:val="000842C2"/>
    <w:rsid w:val="0009064B"/>
    <w:rsid w:val="00091095"/>
    <w:rsid w:val="00093CA9"/>
    <w:rsid w:val="0009459C"/>
    <w:rsid w:val="00096850"/>
    <w:rsid w:val="00097D53"/>
    <w:rsid w:val="000A0FE3"/>
    <w:rsid w:val="000A53B3"/>
    <w:rsid w:val="000A6789"/>
    <w:rsid w:val="000A722F"/>
    <w:rsid w:val="000B26DB"/>
    <w:rsid w:val="000B27BC"/>
    <w:rsid w:val="000B5C98"/>
    <w:rsid w:val="000B72E8"/>
    <w:rsid w:val="000C1AFA"/>
    <w:rsid w:val="000C5949"/>
    <w:rsid w:val="000C6E87"/>
    <w:rsid w:val="000C79DA"/>
    <w:rsid w:val="000D11ED"/>
    <w:rsid w:val="000D1708"/>
    <w:rsid w:val="000D1C53"/>
    <w:rsid w:val="000D2E70"/>
    <w:rsid w:val="000D2F0F"/>
    <w:rsid w:val="000D433A"/>
    <w:rsid w:val="000D659E"/>
    <w:rsid w:val="000D6E5D"/>
    <w:rsid w:val="000E2D28"/>
    <w:rsid w:val="000E53C4"/>
    <w:rsid w:val="000E7701"/>
    <w:rsid w:val="000F1BA8"/>
    <w:rsid w:val="000F2E0B"/>
    <w:rsid w:val="000F3B03"/>
    <w:rsid w:val="000F4032"/>
    <w:rsid w:val="000F4F98"/>
    <w:rsid w:val="000F6694"/>
    <w:rsid w:val="00100570"/>
    <w:rsid w:val="0010167E"/>
    <w:rsid w:val="00101E66"/>
    <w:rsid w:val="0010236B"/>
    <w:rsid w:val="00103837"/>
    <w:rsid w:val="00106472"/>
    <w:rsid w:val="00110E8E"/>
    <w:rsid w:val="00115B4A"/>
    <w:rsid w:val="00117619"/>
    <w:rsid w:val="001226C3"/>
    <w:rsid w:val="00123495"/>
    <w:rsid w:val="0012350D"/>
    <w:rsid w:val="001240B5"/>
    <w:rsid w:val="00125A41"/>
    <w:rsid w:val="00135F7C"/>
    <w:rsid w:val="00136948"/>
    <w:rsid w:val="0013763E"/>
    <w:rsid w:val="0014001D"/>
    <w:rsid w:val="00140F77"/>
    <w:rsid w:val="00141367"/>
    <w:rsid w:val="00147A13"/>
    <w:rsid w:val="00147A60"/>
    <w:rsid w:val="00152F48"/>
    <w:rsid w:val="0015535E"/>
    <w:rsid w:val="001563A4"/>
    <w:rsid w:val="00156F22"/>
    <w:rsid w:val="0016164B"/>
    <w:rsid w:val="001639F8"/>
    <w:rsid w:val="00163BB9"/>
    <w:rsid w:val="00163D1D"/>
    <w:rsid w:val="001658AE"/>
    <w:rsid w:val="00170B41"/>
    <w:rsid w:val="00173590"/>
    <w:rsid w:val="00174821"/>
    <w:rsid w:val="00175BB6"/>
    <w:rsid w:val="00180506"/>
    <w:rsid w:val="001831E0"/>
    <w:rsid w:val="001831F4"/>
    <w:rsid w:val="00183BC7"/>
    <w:rsid w:val="001869D5"/>
    <w:rsid w:val="001943B3"/>
    <w:rsid w:val="001948F7"/>
    <w:rsid w:val="00197759"/>
    <w:rsid w:val="001A0186"/>
    <w:rsid w:val="001A1FD5"/>
    <w:rsid w:val="001A6D52"/>
    <w:rsid w:val="001B0629"/>
    <w:rsid w:val="001B0670"/>
    <w:rsid w:val="001B0D6F"/>
    <w:rsid w:val="001B3A48"/>
    <w:rsid w:val="001B65D0"/>
    <w:rsid w:val="001C00D1"/>
    <w:rsid w:val="001C481E"/>
    <w:rsid w:val="001C5A73"/>
    <w:rsid w:val="001D0DDD"/>
    <w:rsid w:val="001D7127"/>
    <w:rsid w:val="001D76DE"/>
    <w:rsid w:val="001D79DB"/>
    <w:rsid w:val="001E0478"/>
    <w:rsid w:val="001E22F9"/>
    <w:rsid w:val="001E3872"/>
    <w:rsid w:val="001E41A0"/>
    <w:rsid w:val="001E71D9"/>
    <w:rsid w:val="001F0B05"/>
    <w:rsid w:val="001F1560"/>
    <w:rsid w:val="001F1803"/>
    <w:rsid w:val="002013A5"/>
    <w:rsid w:val="002049ED"/>
    <w:rsid w:val="0020528A"/>
    <w:rsid w:val="00206B68"/>
    <w:rsid w:val="00207257"/>
    <w:rsid w:val="0020797F"/>
    <w:rsid w:val="00207A0E"/>
    <w:rsid w:val="002104A0"/>
    <w:rsid w:val="00210B74"/>
    <w:rsid w:val="00216680"/>
    <w:rsid w:val="002170CF"/>
    <w:rsid w:val="0021782C"/>
    <w:rsid w:val="0022055E"/>
    <w:rsid w:val="002206BE"/>
    <w:rsid w:val="0022117F"/>
    <w:rsid w:val="00221A9F"/>
    <w:rsid w:val="00221DF1"/>
    <w:rsid w:val="00223C4E"/>
    <w:rsid w:val="00226210"/>
    <w:rsid w:val="00230440"/>
    <w:rsid w:val="002318ED"/>
    <w:rsid w:val="0024042C"/>
    <w:rsid w:val="00242D43"/>
    <w:rsid w:val="0024453C"/>
    <w:rsid w:val="00244E6F"/>
    <w:rsid w:val="0024760A"/>
    <w:rsid w:val="00255E65"/>
    <w:rsid w:val="00256325"/>
    <w:rsid w:val="002579B8"/>
    <w:rsid w:val="0026021A"/>
    <w:rsid w:val="00260FDA"/>
    <w:rsid w:val="00262D9D"/>
    <w:rsid w:val="00263AB7"/>
    <w:rsid w:val="00270895"/>
    <w:rsid w:val="0027119E"/>
    <w:rsid w:val="0027294E"/>
    <w:rsid w:val="00272C90"/>
    <w:rsid w:val="002737A0"/>
    <w:rsid w:val="00273AFE"/>
    <w:rsid w:val="002763BB"/>
    <w:rsid w:val="002815D6"/>
    <w:rsid w:val="00282E56"/>
    <w:rsid w:val="0028580F"/>
    <w:rsid w:val="002876EB"/>
    <w:rsid w:val="002879E1"/>
    <w:rsid w:val="00293FA7"/>
    <w:rsid w:val="00297218"/>
    <w:rsid w:val="00297A5F"/>
    <w:rsid w:val="002A05F2"/>
    <w:rsid w:val="002A186C"/>
    <w:rsid w:val="002A229F"/>
    <w:rsid w:val="002A2DEA"/>
    <w:rsid w:val="002A5C74"/>
    <w:rsid w:val="002A5D17"/>
    <w:rsid w:val="002A64B0"/>
    <w:rsid w:val="002C04CB"/>
    <w:rsid w:val="002C78DC"/>
    <w:rsid w:val="002D7F73"/>
    <w:rsid w:val="002E13C5"/>
    <w:rsid w:val="002E5576"/>
    <w:rsid w:val="002E6C53"/>
    <w:rsid w:val="002F74F3"/>
    <w:rsid w:val="003010E5"/>
    <w:rsid w:val="00303BBC"/>
    <w:rsid w:val="00304705"/>
    <w:rsid w:val="0030631A"/>
    <w:rsid w:val="00306564"/>
    <w:rsid w:val="00306EE0"/>
    <w:rsid w:val="00307A34"/>
    <w:rsid w:val="00311756"/>
    <w:rsid w:val="00315D35"/>
    <w:rsid w:val="00316E2E"/>
    <w:rsid w:val="00317727"/>
    <w:rsid w:val="00317E6B"/>
    <w:rsid w:val="00320064"/>
    <w:rsid w:val="003254B6"/>
    <w:rsid w:val="0033233C"/>
    <w:rsid w:val="00333099"/>
    <w:rsid w:val="0033609C"/>
    <w:rsid w:val="00337435"/>
    <w:rsid w:val="003403BF"/>
    <w:rsid w:val="003405AA"/>
    <w:rsid w:val="00342AFA"/>
    <w:rsid w:val="00344845"/>
    <w:rsid w:val="0034731D"/>
    <w:rsid w:val="003478FF"/>
    <w:rsid w:val="00357733"/>
    <w:rsid w:val="003606E5"/>
    <w:rsid w:val="00360E61"/>
    <w:rsid w:val="003644F3"/>
    <w:rsid w:val="00365187"/>
    <w:rsid w:val="00370764"/>
    <w:rsid w:val="00370A4B"/>
    <w:rsid w:val="00372B20"/>
    <w:rsid w:val="00372FB4"/>
    <w:rsid w:val="003778A2"/>
    <w:rsid w:val="003809B4"/>
    <w:rsid w:val="00381C0E"/>
    <w:rsid w:val="00387D4D"/>
    <w:rsid w:val="003903A0"/>
    <w:rsid w:val="0039063D"/>
    <w:rsid w:val="00391171"/>
    <w:rsid w:val="0039199A"/>
    <w:rsid w:val="00394E59"/>
    <w:rsid w:val="0039577D"/>
    <w:rsid w:val="003A0948"/>
    <w:rsid w:val="003A4846"/>
    <w:rsid w:val="003A57A3"/>
    <w:rsid w:val="003A5CAF"/>
    <w:rsid w:val="003A5F2E"/>
    <w:rsid w:val="003A74E8"/>
    <w:rsid w:val="003B0ADA"/>
    <w:rsid w:val="003B0C35"/>
    <w:rsid w:val="003C0914"/>
    <w:rsid w:val="003C179D"/>
    <w:rsid w:val="003C2A94"/>
    <w:rsid w:val="003C3FB6"/>
    <w:rsid w:val="003C6C50"/>
    <w:rsid w:val="003C6EB6"/>
    <w:rsid w:val="003C7807"/>
    <w:rsid w:val="003D2DA3"/>
    <w:rsid w:val="003D6331"/>
    <w:rsid w:val="003E3697"/>
    <w:rsid w:val="003E5C2F"/>
    <w:rsid w:val="003E7337"/>
    <w:rsid w:val="003F0C7E"/>
    <w:rsid w:val="003F3544"/>
    <w:rsid w:val="00403201"/>
    <w:rsid w:val="00405538"/>
    <w:rsid w:val="004123CD"/>
    <w:rsid w:val="0041348D"/>
    <w:rsid w:val="00414CE3"/>
    <w:rsid w:val="004167AE"/>
    <w:rsid w:val="004205D4"/>
    <w:rsid w:val="0042315A"/>
    <w:rsid w:val="004231BF"/>
    <w:rsid w:val="0042567E"/>
    <w:rsid w:val="004265D8"/>
    <w:rsid w:val="00431CD3"/>
    <w:rsid w:val="004328C4"/>
    <w:rsid w:val="00435647"/>
    <w:rsid w:val="004369B1"/>
    <w:rsid w:val="00436CCE"/>
    <w:rsid w:val="00437744"/>
    <w:rsid w:val="0044085F"/>
    <w:rsid w:val="00441EE6"/>
    <w:rsid w:val="00442A54"/>
    <w:rsid w:val="00443550"/>
    <w:rsid w:val="00450927"/>
    <w:rsid w:val="00454157"/>
    <w:rsid w:val="00456A72"/>
    <w:rsid w:val="00457302"/>
    <w:rsid w:val="004635B1"/>
    <w:rsid w:val="004640CC"/>
    <w:rsid w:val="004649A1"/>
    <w:rsid w:val="00465B45"/>
    <w:rsid w:val="0047174F"/>
    <w:rsid w:val="00472FA8"/>
    <w:rsid w:val="00474A1F"/>
    <w:rsid w:val="00474C7C"/>
    <w:rsid w:val="00474FDB"/>
    <w:rsid w:val="00477838"/>
    <w:rsid w:val="004807A7"/>
    <w:rsid w:val="004842F0"/>
    <w:rsid w:val="00487524"/>
    <w:rsid w:val="00490338"/>
    <w:rsid w:val="00491E5E"/>
    <w:rsid w:val="004944BB"/>
    <w:rsid w:val="00494E3D"/>
    <w:rsid w:val="00495559"/>
    <w:rsid w:val="00496C5C"/>
    <w:rsid w:val="004A0A10"/>
    <w:rsid w:val="004A0E66"/>
    <w:rsid w:val="004A1800"/>
    <w:rsid w:val="004A348A"/>
    <w:rsid w:val="004A447D"/>
    <w:rsid w:val="004A56A9"/>
    <w:rsid w:val="004A6497"/>
    <w:rsid w:val="004A66A1"/>
    <w:rsid w:val="004A7E64"/>
    <w:rsid w:val="004B2A79"/>
    <w:rsid w:val="004B65F2"/>
    <w:rsid w:val="004B74E6"/>
    <w:rsid w:val="004C0E4B"/>
    <w:rsid w:val="004C4846"/>
    <w:rsid w:val="004D4E65"/>
    <w:rsid w:val="004D6FBA"/>
    <w:rsid w:val="004D7F2A"/>
    <w:rsid w:val="004E504C"/>
    <w:rsid w:val="004E5715"/>
    <w:rsid w:val="004E768C"/>
    <w:rsid w:val="004F3663"/>
    <w:rsid w:val="004F67BF"/>
    <w:rsid w:val="005032B7"/>
    <w:rsid w:val="00517D01"/>
    <w:rsid w:val="00520237"/>
    <w:rsid w:val="005232C9"/>
    <w:rsid w:val="005232FE"/>
    <w:rsid w:val="00524545"/>
    <w:rsid w:val="00525529"/>
    <w:rsid w:val="005262FC"/>
    <w:rsid w:val="005265EF"/>
    <w:rsid w:val="00534D4E"/>
    <w:rsid w:val="00547837"/>
    <w:rsid w:val="00553D16"/>
    <w:rsid w:val="0056058C"/>
    <w:rsid w:val="00562659"/>
    <w:rsid w:val="005656CC"/>
    <w:rsid w:val="0056637A"/>
    <w:rsid w:val="0057144A"/>
    <w:rsid w:val="00573014"/>
    <w:rsid w:val="00573696"/>
    <w:rsid w:val="00577C87"/>
    <w:rsid w:val="005815E2"/>
    <w:rsid w:val="00583234"/>
    <w:rsid w:val="005832B8"/>
    <w:rsid w:val="005922C5"/>
    <w:rsid w:val="0059772A"/>
    <w:rsid w:val="005A0D7C"/>
    <w:rsid w:val="005A6E17"/>
    <w:rsid w:val="005B1951"/>
    <w:rsid w:val="005B4413"/>
    <w:rsid w:val="005B773C"/>
    <w:rsid w:val="005B7A9C"/>
    <w:rsid w:val="005C1330"/>
    <w:rsid w:val="005C1B61"/>
    <w:rsid w:val="005C463E"/>
    <w:rsid w:val="005D0C62"/>
    <w:rsid w:val="005D19C2"/>
    <w:rsid w:val="005D5A1A"/>
    <w:rsid w:val="005D758B"/>
    <w:rsid w:val="005E4E14"/>
    <w:rsid w:val="005E5E04"/>
    <w:rsid w:val="005F13A7"/>
    <w:rsid w:val="005F144B"/>
    <w:rsid w:val="005F1AD7"/>
    <w:rsid w:val="005F48B0"/>
    <w:rsid w:val="00601675"/>
    <w:rsid w:val="00606DBF"/>
    <w:rsid w:val="00613569"/>
    <w:rsid w:val="00614A7E"/>
    <w:rsid w:val="0061570B"/>
    <w:rsid w:val="00617300"/>
    <w:rsid w:val="00623027"/>
    <w:rsid w:val="00623AC3"/>
    <w:rsid w:val="006244A4"/>
    <w:rsid w:val="00627B9A"/>
    <w:rsid w:val="0063120A"/>
    <w:rsid w:val="006338F1"/>
    <w:rsid w:val="006354E6"/>
    <w:rsid w:val="00640547"/>
    <w:rsid w:val="006450C5"/>
    <w:rsid w:val="0064584F"/>
    <w:rsid w:val="00650828"/>
    <w:rsid w:val="00650DF2"/>
    <w:rsid w:val="00651065"/>
    <w:rsid w:val="006537D9"/>
    <w:rsid w:val="00655E48"/>
    <w:rsid w:val="00656185"/>
    <w:rsid w:val="00656ADF"/>
    <w:rsid w:val="00657564"/>
    <w:rsid w:val="00657A28"/>
    <w:rsid w:val="0066109C"/>
    <w:rsid w:val="00664100"/>
    <w:rsid w:val="0066659B"/>
    <w:rsid w:val="00667C66"/>
    <w:rsid w:val="0067508F"/>
    <w:rsid w:val="0067514A"/>
    <w:rsid w:val="0067574F"/>
    <w:rsid w:val="006767D6"/>
    <w:rsid w:val="00680B3A"/>
    <w:rsid w:val="00682CFF"/>
    <w:rsid w:val="00684E4D"/>
    <w:rsid w:val="0068690A"/>
    <w:rsid w:val="00686ADC"/>
    <w:rsid w:val="006912BB"/>
    <w:rsid w:val="00691342"/>
    <w:rsid w:val="00692671"/>
    <w:rsid w:val="0069301D"/>
    <w:rsid w:val="006942A4"/>
    <w:rsid w:val="006A0043"/>
    <w:rsid w:val="006A0F88"/>
    <w:rsid w:val="006A222C"/>
    <w:rsid w:val="006A61CF"/>
    <w:rsid w:val="006A72A6"/>
    <w:rsid w:val="006A7A42"/>
    <w:rsid w:val="006A7EAF"/>
    <w:rsid w:val="006A7F80"/>
    <w:rsid w:val="006B43D5"/>
    <w:rsid w:val="006B6EAB"/>
    <w:rsid w:val="006D134F"/>
    <w:rsid w:val="006D36BA"/>
    <w:rsid w:val="006D48F0"/>
    <w:rsid w:val="006D7686"/>
    <w:rsid w:val="006D7D4D"/>
    <w:rsid w:val="006E0AA1"/>
    <w:rsid w:val="006E17AF"/>
    <w:rsid w:val="006E25E8"/>
    <w:rsid w:val="006E5838"/>
    <w:rsid w:val="006F1D5E"/>
    <w:rsid w:val="006F24CA"/>
    <w:rsid w:val="006F38F2"/>
    <w:rsid w:val="006F39EC"/>
    <w:rsid w:val="006F75FF"/>
    <w:rsid w:val="0070026D"/>
    <w:rsid w:val="007007A4"/>
    <w:rsid w:val="00701F5A"/>
    <w:rsid w:val="00704144"/>
    <w:rsid w:val="007057DF"/>
    <w:rsid w:val="00706253"/>
    <w:rsid w:val="00707B6C"/>
    <w:rsid w:val="0071175C"/>
    <w:rsid w:val="00712787"/>
    <w:rsid w:val="007151D5"/>
    <w:rsid w:val="007213D3"/>
    <w:rsid w:val="0072194C"/>
    <w:rsid w:val="00731CD3"/>
    <w:rsid w:val="00732F44"/>
    <w:rsid w:val="00737D7D"/>
    <w:rsid w:val="00740D0E"/>
    <w:rsid w:val="0074106D"/>
    <w:rsid w:val="007429F5"/>
    <w:rsid w:val="00742C76"/>
    <w:rsid w:val="00744929"/>
    <w:rsid w:val="00745596"/>
    <w:rsid w:val="00746031"/>
    <w:rsid w:val="0075019F"/>
    <w:rsid w:val="00750E4A"/>
    <w:rsid w:val="00753EEF"/>
    <w:rsid w:val="00754CDA"/>
    <w:rsid w:val="007555F5"/>
    <w:rsid w:val="007564AB"/>
    <w:rsid w:val="007604F7"/>
    <w:rsid w:val="00762ADB"/>
    <w:rsid w:val="00762BA5"/>
    <w:rsid w:val="00766E50"/>
    <w:rsid w:val="00770F72"/>
    <w:rsid w:val="00772C9C"/>
    <w:rsid w:val="00772CBF"/>
    <w:rsid w:val="00775A64"/>
    <w:rsid w:val="00776336"/>
    <w:rsid w:val="00777E44"/>
    <w:rsid w:val="00780572"/>
    <w:rsid w:val="0078174D"/>
    <w:rsid w:val="00781EE2"/>
    <w:rsid w:val="00782250"/>
    <w:rsid w:val="007875DE"/>
    <w:rsid w:val="00790FB8"/>
    <w:rsid w:val="00795A4E"/>
    <w:rsid w:val="007964C3"/>
    <w:rsid w:val="00797218"/>
    <w:rsid w:val="007A06E8"/>
    <w:rsid w:val="007A1642"/>
    <w:rsid w:val="007A30EB"/>
    <w:rsid w:val="007A3F82"/>
    <w:rsid w:val="007A4E9A"/>
    <w:rsid w:val="007B6824"/>
    <w:rsid w:val="007C189D"/>
    <w:rsid w:val="007C472A"/>
    <w:rsid w:val="007D0554"/>
    <w:rsid w:val="007D1561"/>
    <w:rsid w:val="007D283A"/>
    <w:rsid w:val="007E3CF6"/>
    <w:rsid w:val="007E4DDC"/>
    <w:rsid w:val="007E56B9"/>
    <w:rsid w:val="007F0E78"/>
    <w:rsid w:val="007F3C3E"/>
    <w:rsid w:val="007F6994"/>
    <w:rsid w:val="00801A0C"/>
    <w:rsid w:val="0080627A"/>
    <w:rsid w:val="00811DB9"/>
    <w:rsid w:val="00811E08"/>
    <w:rsid w:val="00811E4A"/>
    <w:rsid w:val="008130E4"/>
    <w:rsid w:val="0081316A"/>
    <w:rsid w:val="0081464F"/>
    <w:rsid w:val="00821D5B"/>
    <w:rsid w:val="008236D8"/>
    <w:rsid w:val="0082534C"/>
    <w:rsid w:val="00827C1A"/>
    <w:rsid w:val="00831F99"/>
    <w:rsid w:val="0083324F"/>
    <w:rsid w:val="008340B9"/>
    <w:rsid w:val="00835F2B"/>
    <w:rsid w:val="00836C60"/>
    <w:rsid w:val="008414CC"/>
    <w:rsid w:val="00841D22"/>
    <w:rsid w:val="00847A2D"/>
    <w:rsid w:val="00851636"/>
    <w:rsid w:val="00860BD7"/>
    <w:rsid w:val="0086271A"/>
    <w:rsid w:val="00863A9A"/>
    <w:rsid w:val="00863B08"/>
    <w:rsid w:val="00867AB8"/>
    <w:rsid w:val="008705AF"/>
    <w:rsid w:val="008744BC"/>
    <w:rsid w:val="00874DB4"/>
    <w:rsid w:val="00875404"/>
    <w:rsid w:val="00876A30"/>
    <w:rsid w:val="00877BEB"/>
    <w:rsid w:val="0088076A"/>
    <w:rsid w:val="00884862"/>
    <w:rsid w:val="0088614C"/>
    <w:rsid w:val="00886572"/>
    <w:rsid w:val="00886EC7"/>
    <w:rsid w:val="00893773"/>
    <w:rsid w:val="00893A1F"/>
    <w:rsid w:val="008A3312"/>
    <w:rsid w:val="008A3D6C"/>
    <w:rsid w:val="008A42CF"/>
    <w:rsid w:val="008A7F14"/>
    <w:rsid w:val="008B05B4"/>
    <w:rsid w:val="008B0788"/>
    <w:rsid w:val="008B1173"/>
    <w:rsid w:val="008B4B53"/>
    <w:rsid w:val="008C0C66"/>
    <w:rsid w:val="008C1DFB"/>
    <w:rsid w:val="008C46D7"/>
    <w:rsid w:val="008C5164"/>
    <w:rsid w:val="008C74BA"/>
    <w:rsid w:val="008D016C"/>
    <w:rsid w:val="008D1F68"/>
    <w:rsid w:val="008D2946"/>
    <w:rsid w:val="008D3B1E"/>
    <w:rsid w:val="008F1487"/>
    <w:rsid w:val="008F5CF8"/>
    <w:rsid w:val="008F7554"/>
    <w:rsid w:val="00900B71"/>
    <w:rsid w:val="00900F83"/>
    <w:rsid w:val="009019DD"/>
    <w:rsid w:val="00904993"/>
    <w:rsid w:val="00905927"/>
    <w:rsid w:val="00905981"/>
    <w:rsid w:val="00906084"/>
    <w:rsid w:val="0090707E"/>
    <w:rsid w:val="00907E11"/>
    <w:rsid w:val="00910FEB"/>
    <w:rsid w:val="00912AD6"/>
    <w:rsid w:val="00913CC6"/>
    <w:rsid w:val="009148BC"/>
    <w:rsid w:val="00915CF2"/>
    <w:rsid w:val="009164D6"/>
    <w:rsid w:val="00916DB2"/>
    <w:rsid w:val="00917D4A"/>
    <w:rsid w:val="00921BAE"/>
    <w:rsid w:val="00923660"/>
    <w:rsid w:val="009238CF"/>
    <w:rsid w:val="00936AA2"/>
    <w:rsid w:val="00942692"/>
    <w:rsid w:val="0094365C"/>
    <w:rsid w:val="009479AB"/>
    <w:rsid w:val="00953FCD"/>
    <w:rsid w:val="009562FF"/>
    <w:rsid w:val="0096224D"/>
    <w:rsid w:val="00964262"/>
    <w:rsid w:val="00967917"/>
    <w:rsid w:val="0097245D"/>
    <w:rsid w:val="00973333"/>
    <w:rsid w:val="00975933"/>
    <w:rsid w:val="00980AE7"/>
    <w:rsid w:val="00981F24"/>
    <w:rsid w:val="00985CD0"/>
    <w:rsid w:val="009869A8"/>
    <w:rsid w:val="00987C22"/>
    <w:rsid w:val="00987D8A"/>
    <w:rsid w:val="00991C5F"/>
    <w:rsid w:val="009925C2"/>
    <w:rsid w:val="00993C5E"/>
    <w:rsid w:val="00994647"/>
    <w:rsid w:val="00994AE8"/>
    <w:rsid w:val="009953C8"/>
    <w:rsid w:val="00995E7D"/>
    <w:rsid w:val="009A0215"/>
    <w:rsid w:val="009A7BFE"/>
    <w:rsid w:val="009B6A17"/>
    <w:rsid w:val="009B71B8"/>
    <w:rsid w:val="009C15AE"/>
    <w:rsid w:val="009D1167"/>
    <w:rsid w:val="009D4B31"/>
    <w:rsid w:val="009E1F07"/>
    <w:rsid w:val="009E3681"/>
    <w:rsid w:val="009E4C1A"/>
    <w:rsid w:val="009E6535"/>
    <w:rsid w:val="009F005A"/>
    <w:rsid w:val="009F26FA"/>
    <w:rsid w:val="009F2D2B"/>
    <w:rsid w:val="009F6867"/>
    <w:rsid w:val="009F6E7A"/>
    <w:rsid w:val="009F72CE"/>
    <w:rsid w:val="009F757A"/>
    <w:rsid w:val="00A00DB2"/>
    <w:rsid w:val="00A01DDC"/>
    <w:rsid w:val="00A10404"/>
    <w:rsid w:val="00A10D22"/>
    <w:rsid w:val="00A17ABC"/>
    <w:rsid w:val="00A207DB"/>
    <w:rsid w:val="00A20EF6"/>
    <w:rsid w:val="00A22987"/>
    <w:rsid w:val="00A2457C"/>
    <w:rsid w:val="00A24E13"/>
    <w:rsid w:val="00A267D1"/>
    <w:rsid w:val="00A33349"/>
    <w:rsid w:val="00A33A44"/>
    <w:rsid w:val="00A33F1C"/>
    <w:rsid w:val="00A35068"/>
    <w:rsid w:val="00A350AB"/>
    <w:rsid w:val="00A3570C"/>
    <w:rsid w:val="00A35F6A"/>
    <w:rsid w:val="00A37812"/>
    <w:rsid w:val="00A42A4A"/>
    <w:rsid w:val="00A43792"/>
    <w:rsid w:val="00A43D42"/>
    <w:rsid w:val="00A43D43"/>
    <w:rsid w:val="00A4506E"/>
    <w:rsid w:val="00A45CB1"/>
    <w:rsid w:val="00A45D7C"/>
    <w:rsid w:val="00A47A76"/>
    <w:rsid w:val="00A5005A"/>
    <w:rsid w:val="00A506BE"/>
    <w:rsid w:val="00A53640"/>
    <w:rsid w:val="00A57922"/>
    <w:rsid w:val="00A6172D"/>
    <w:rsid w:val="00A61F41"/>
    <w:rsid w:val="00A639F2"/>
    <w:rsid w:val="00A839D4"/>
    <w:rsid w:val="00A84398"/>
    <w:rsid w:val="00A84DF1"/>
    <w:rsid w:val="00A85FBA"/>
    <w:rsid w:val="00A9314B"/>
    <w:rsid w:val="00AA578E"/>
    <w:rsid w:val="00AA6FAE"/>
    <w:rsid w:val="00AA7E7F"/>
    <w:rsid w:val="00AB0C83"/>
    <w:rsid w:val="00AB0DCB"/>
    <w:rsid w:val="00AB13AF"/>
    <w:rsid w:val="00AB15ED"/>
    <w:rsid w:val="00AB164C"/>
    <w:rsid w:val="00AB2349"/>
    <w:rsid w:val="00AB3BC0"/>
    <w:rsid w:val="00AB65C8"/>
    <w:rsid w:val="00AC01B7"/>
    <w:rsid w:val="00AC1040"/>
    <w:rsid w:val="00AC322A"/>
    <w:rsid w:val="00AC575A"/>
    <w:rsid w:val="00AC6215"/>
    <w:rsid w:val="00AD02FF"/>
    <w:rsid w:val="00AD252D"/>
    <w:rsid w:val="00AD36A3"/>
    <w:rsid w:val="00AE109E"/>
    <w:rsid w:val="00AE34AC"/>
    <w:rsid w:val="00AF0552"/>
    <w:rsid w:val="00AF13AA"/>
    <w:rsid w:val="00AF2FF1"/>
    <w:rsid w:val="00B076C0"/>
    <w:rsid w:val="00B10041"/>
    <w:rsid w:val="00B104F7"/>
    <w:rsid w:val="00B14CBE"/>
    <w:rsid w:val="00B22C79"/>
    <w:rsid w:val="00B25D00"/>
    <w:rsid w:val="00B25DBC"/>
    <w:rsid w:val="00B27378"/>
    <w:rsid w:val="00B27B3F"/>
    <w:rsid w:val="00B32E25"/>
    <w:rsid w:val="00B3322B"/>
    <w:rsid w:val="00B34E0F"/>
    <w:rsid w:val="00B35041"/>
    <w:rsid w:val="00B41FF3"/>
    <w:rsid w:val="00B4768E"/>
    <w:rsid w:val="00B50241"/>
    <w:rsid w:val="00B50A71"/>
    <w:rsid w:val="00B518D6"/>
    <w:rsid w:val="00B51907"/>
    <w:rsid w:val="00B5196B"/>
    <w:rsid w:val="00B53613"/>
    <w:rsid w:val="00B541F4"/>
    <w:rsid w:val="00B542E1"/>
    <w:rsid w:val="00B55852"/>
    <w:rsid w:val="00B57DCD"/>
    <w:rsid w:val="00B63998"/>
    <w:rsid w:val="00B63A8D"/>
    <w:rsid w:val="00B63C15"/>
    <w:rsid w:val="00B66B6A"/>
    <w:rsid w:val="00B672DF"/>
    <w:rsid w:val="00B67D80"/>
    <w:rsid w:val="00B70117"/>
    <w:rsid w:val="00B723D9"/>
    <w:rsid w:val="00B735E4"/>
    <w:rsid w:val="00B75E4C"/>
    <w:rsid w:val="00B76ED2"/>
    <w:rsid w:val="00B80254"/>
    <w:rsid w:val="00B811A0"/>
    <w:rsid w:val="00B87108"/>
    <w:rsid w:val="00B87EF1"/>
    <w:rsid w:val="00B90FE7"/>
    <w:rsid w:val="00B9301B"/>
    <w:rsid w:val="00BA3508"/>
    <w:rsid w:val="00BA6401"/>
    <w:rsid w:val="00BA673A"/>
    <w:rsid w:val="00BB100D"/>
    <w:rsid w:val="00BB7193"/>
    <w:rsid w:val="00BC1503"/>
    <w:rsid w:val="00BC1BA4"/>
    <w:rsid w:val="00BC51C3"/>
    <w:rsid w:val="00BC6501"/>
    <w:rsid w:val="00BD41F4"/>
    <w:rsid w:val="00BD4C23"/>
    <w:rsid w:val="00BD539A"/>
    <w:rsid w:val="00BD590D"/>
    <w:rsid w:val="00BD5C2D"/>
    <w:rsid w:val="00BE22C5"/>
    <w:rsid w:val="00BE3111"/>
    <w:rsid w:val="00BE706E"/>
    <w:rsid w:val="00BF1642"/>
    <w:rsid w:val="00BF6DCE"/>
    <w:rsid w:val="00C00EFA"/>
    <w:rsid w:val="00C024A9"/>
    <w:rsid w:val="00C050EB"/>
    <w:rsid w:val="00C101DE"/>
    <w:rsid w:val="00C118EB"/>
    <w:rsid w:val="00C12416"/>
    <w:rsid w:val="00C13FCA"/>
    <w:rsid w:val="00C14A9C"/>
    <w:rsid w:val="00C156E3"/>
    <w:rsid w:val="00C21883"/>
    <w:rsid w:val="00C22A29"/>
    <w:rsid w:val="00C2773F"/>
    <w:rsid w:val="00C30F9B"/>
    <w:rsid w:val="00C31E97"/>
    <w:rsid w:val="00C349B6"/>
    <w:rsid w:val="00C356FC"/>
    <w:rsid w:val="00C362DF"/>
    <w:rsid w:val="00C3648B"/>
    <w:rsid w:val="00C37F20"/>
    <w:rsid w:val="00C40FAF"/>
    <w:rsid w:val="00C421DA"/>
    <w:rsid w:val="00C53ED3"/>
    <w:rsid w:val="00C6119B"/>
    <w:rsid w:val="00C65970"/>
    <w:rsid w:val="00C74007"/>
    <w:rsid w:val="00C74268"/>
    <w:rsid w:val="00C745EB"/>
    <w:rsid w:val="00C74B33"/>
    <w:rsid w:val="00C75A94"/>
    <w:rsid w:val="00C76496"/>
    <w:rsid w:val="00C81B70"/>
    <w:rsid w:val="00C849F4"/>
    <w:rsid w:val="00CA0303"/>
    <w:rsid w:val="00CA2C90"/>
    <w:rsid w:val="00CA3EAB"/>
    <w:rsid w:val="00CA7E57"/>
    <w:rsid w:val="00CB3D76"/>
    <w:rsid w:val="00CB45F7"/>
    <w:rsid w:val="00CB49F6"/>
    <w:rsid w:val="00CB78B4"/>
    <w:rsid w:val="00CC05E3"/>
    <w:rsid w:val="00CC366C"/>
    <w:rsid w:val="00CD05D3"/>
    <w:rsid w:val="00CD3D4F"/>
    <w:rsid w:val="00CD4D6F"/>
    <w:rsid w:val="00CD5FB7"/>
    <w:rsid w:val="00CD6F3D"/>
    <w:rsid w:val="00CE2753"/>
    <w:rsid w:val="00CE3BE0"/>
    <w:rsid w:val="00CE6CE3"/>
    <w:rsid w:val="00CE7A98"/>
    <w:rsid w:val="00CF0515"/>
    <w:rsid w:val="00CF5315"/>
    <w:rsid w:val="00CF5421"/>
    <w:rsid w:val="00D050BC"/>
    <w:rsid w:val="00D06CBE"/>
    <w:rsid w:val="00D17C04"/>
    <w:rsid w:val="00D20A1F"/>
    <w:rsid w:val="00D22800"/>
    <w:rsid w:val="00D232AF"/>
    <w:rsid w:val="00D30B49"/>
    <w:rsid w:val="00D31820"/>
    <w:rsid w:val="00D33DC8"/>
    <w:rsid w:val="00D36C2D"/>
    <w:rsid w:val="00D427FB"/>
    <w:rsid w:val="00D42BFD"/>
    <w:rsid w:val="00D53170"/>
    <w:rsid w:val="00D55DA2"/>
    <w:rsid w:val="00D56E03"/>
    <w:rsid w:val="00D63380"/>
    <w:rsid w:val="00D659B4"/>
    <w:rsid w:val="00D67528"/>
    <w:rsid w:val="00D71AF6"/>
    <w:rsid w:val="00D72404"/>
    <w:rsid w:val="00D7240C"/>
    <w:rsid w:val="00D846A7"/>
    <w:rsid w:val="00D97F50"/>
    <w:rsid w:val="00DA1262"/>
    <w:rsid w:val="00DA32DC"/>
    <w:rsid w:val="00DA5B43"/>
    <w:rsid w:val="00DA5C8E"/>
    <w:rsid w:val="00DA6B0F"/>
    <w:rsid w:val="00DB08D2"/>
    <w:rsid w:val="00DB0F33"/>
    <w:rsid w:val="00DB36B8"/>
    <w:rsid w:val="00DB5CDF"/>
    <w:rsid w:val="00DB5F7F"/>
    <w:rsid w:val="00DB7B31"/>
    <w:rsid w:val="00DC0178"/>
    <w:rsid w:val="00DC098F"/>
    <w:rsid w:val="00DC52F2"/>
    <w:rsid w:val="00DD1E30"/>
    <w:rsid w:val="00DD2796"/>
    <w:rsid w:val="00DD5733"/>
    <w:rsid w:val="00DD5D09"/>
    <w:rsid w:val="00DD7C3D"/>
    <w:rsid w:val="00DE02A9"/>
    <w:rsid w:val="00DE0319"/>
    <w:rsid w:val="00DE0C91"/>
    <w:rsid w:val="00DE21EB"/>
    <w:rsid w:val="00DE57AE"/>
    <w:rsid w:val="00DE71D1"/>
    <w:rsid w:val="00DF0522"/>
    <w:rsid w:val="00DF0740"/>
    <w:rsid w:val="00DF4212"/>
    <w:rsid w:val="00DF59A1"/>
    <w:rsid w:val="00E01438"/>
    <w:rsid w:val="00E11E44"/>
    <w:rsid w:val="00E1663E"/>
    <w:rsid w:val="00E20ADD"/>
    <w:rsid w:val="00E21DE7"/>
    <w:rsid w:val="00E24F3D"/>
    <w:rsid w:val="00E30B6F"/>
    <w:rsid w:val="00E35205"/>
    <w:rsid w:val="00E36237"/>
    <w:rsid w:val="00E36AA8"/>
    <w:rsid w:val="00E37AD6"/>
    <w:rsid w:val="00E42C39"/>
    <w:rsid w:val="00E460EE"/>
    <w:rsid w:val="00E55C3C"/>
    <w:rsid w:val="00E604B5"/>
    <w:rsid w:val="00E63155"/>
    <w:rsid w:val="00E707E5"/>
    <w:rsid w:val="00E70BE7"/>
    <w:rsid w:val="00E70FEF"/>
    <w:rsid w:val="00E71307"/>
    <w:rsid w:val="00E773FF"/>
    <w:rsid w:val="00E81196"/>
    <w:rsid w:val="00E82196"/>
    <w:rsid w:val="00E853E5"/>
    <w:rsid w:val="00E87BC4"/>
    <w:rsid w:val="00E94712"/>
    <w:rsid w:val="00E963D6"/>
    <w:rsid w:val="00E96842"/>
    <w:rsid w:val="00E9742F"/>
    <w:rsid w:val="00E97F9F"/>
    <w:rsid w:val="00EA3727"/>
    <w:rsid w:val="00EA3B2E"/>
    <w:rsid w:val="00EA6256"/>
    <w:rsid w:val="00EA7005"/>
    <w:rsid w:val="00EB18E0"/>
    <w:rsid w:val="00EB23E6"/>
    <w:rsid w:val="00EB2BC7"/>
    <w:rsid w:val="00EB4676"/>
    <w:rsid w:val="00EC3E16"/>
    <w:rsid w:val="00EC3F17"/>
    <w:rsid w:val="00EC4ED4"/>
    <w:rsid w:val="00EC4F4F"/>
    <w:rsid w:val="00ED0570"/>
    <w:rsid w:val="00ED1E0F"/>
    <w:rsid w:val="00ED35FF"/>
    <w:rsid w:val="00EE41F9"/>
    <w:rsid w:val="00EE7A2C"/>
    <w:rsid w:val="00EE7DCA"/>
    <w:rsid w:val="00EF33C4"/>
    <w:rsid w:val="00EF4E53"/>
    <w:rsid w:val="00EF5A00"/>
    <w:rsid w:val="00EF7DD2"/>
    <w:rsid w:val="00F015A1"/>
    <w:rsid w:val="00F0314A"/>
    <w:rsid w:val="00F0328A"/>
    <w:rsid w:val="00F113C9"/>
    <w:rsid w:val="00F15371"/>
    <w:rsid w:val="00F165BF"/>
    <w:rsid w:val="00F23CB8"/>
    <w:rsid w:val="00F2427A"/>
    <w:rsid w:val="00F2679D"/>
    <w:rsid w:val="00F26F59"/>
    <w:rsid w:val="00F2769A"/>
    <w:rsid w:val="00F32673"/>
    <w:rsid w:val="00F32CE1"/>
    <w:rsid w:val="00F34621"/>
    <w:rsid w:val="00F34CCB"/>
    <w:rsid w:val="00F36571"/>
    <w:rsid w:val="00F36FF5"/>
    <w:rsid w:val="00F43B28"/>
    <w:rsid w:val="00F453C5"/>
    <w:rsid w:val="00F46FA8"/>
    <w:rsid w:val="00F5077E"/>
    <w:rsid w:val="00F50CB0"/>
    <w:rsid w:val="00F5189D"/>
    <w:rsid w:val="00F57DE3"/>
    <w:rsid w:val="00F6012A"/>
    <w:rsid w:val="00F61ED5"/>
    <w:rsid w:val="00F62139"/>
    <w:rsid w:val="00F62DDC"/>
    <w:rsid w:val="00F65992"/>
    <w:rsid w:val="00F661A6"/>
    <w:rsid w:val="00F702EF"/>
    <w:rsid w:val="00F737C9"/>
    <w:rsid w:val="00F7414F"/>
    <w:rsid w:val="00F7441E"/>
    <w:rsid w:val="00F753E4"/>
    <w:rsid w:val="00F75AE4"/>
    <w:rsid w:val="00F7712A"/>
    <w:rsid w:val="00F80CA3"/>
    <w:rsid w:val="00F868F2"/>
    <w:rsid w:val="00FA0BB1"/>
    <w:rsid w:val="00FA40E1"/>
    <w:rsid w:val="00FA4A5C"/>
    <w:rsid w:val="00FA529A"/>
    <w:rsid w:val="00FA7D64"/>
    <w:rsid w:val="00FA7FCF"/>
    <w:rsid w:val="00FB1DCA"/>
    <w:rsid w:val="00FB2E9E"/>
    <w:rsid w:val="00FB724F"/>
    <w:rsid w:val="00FC4DDC"/>
    <w:rsid w:val="00FD3A90"/>
    <w:rsid w:val="00FD5867"/>
    <w:rsid w:val="00FD69A1"/>
    <w:rsid w:val="00FE18A2"/>
    <w:rsid w:val="00FE2318"/>
    <w:rsid w:val="00FE2F91"/>
    <w:rsid w:val="00FE32B3"/>
    <w:rsid w:val="00FE6D65"/>
    <w:rsid w:val="00FE7F9A"/>
    <w:rsid w:val="00FF2456"/>
    <w:rsid w:val="00FF4590"/>
    <w:rsid w:val="00FF6211"/>
    <w:rsid w:val="00FF7F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A3EFD1"/>
  <w15:docId w15:val="{DD8AD8E9-3DBC-459C-BD16-0A0446D8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19"/>
        <w:szCs w:val="19"/>
        <w:lang w:val="en-IE" w:eastAsia="en-US" w:bidi="ar-SA"/>
      </w:rPr>
    </w:rPrDefault>
    <w:pPrDefault>
      <w:pPr>
        <w:spacing w:before="240" w:line="288" w:lineRule="auto"/>
        <w:jc w:val="both"/>
      </w:pPr>
    </w:pPrDefault>
  </w:docDefaults>
  <w:latentStyles w:defLockedState="0" w:defUIPriority="99" w:defSemiHidden="0" w:defUnhideWhenUsed="0" w:defQFormat="0" w:count="371">
    <w:lsdException w:name="Normal" w:qFormat="1"/>
    <w:lsdException w:name="heading 1" w:uiPriority="0" w:qFormat="1"/>
    <w:lsdException w:name="heading 2" w:semiHidden="1" w:uiPriority="1" w:unhideWhenUsed="1" w:qFormat="1"/>
    <w:lsdException w:name="heading 3" w:semiHidden="1" w:uiPriority="2" w:qFormat="1"/>
    <w:lsdException w:name="heading 4" w:semiHidden="1" w:uiPriority="3" w:qFormat="1"/>
    <w:lsdException w:name="heading 5" w:semiHidden="1" w:uiPriority="4"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F62139"/>
  </w:style>
  <w:style w:type="paragraph" w:styleId="Heading1">
    <w:name w:val="heading 1"/>
    <w:aliases w:val="Heading 1 Char1,Heading 1 Char Char,Heading 1 Char1 Char Char,Heading 1 Char Char Char Char,Heading 1 Char Char1,Heading 1 Char1 Char,Heading 1 Char Char Char,Heading 1 Char1 Char Char Char Char,Heading 1 Char Char1 Char Char"/>
    <w:basedOn w:val="Normal"/>
    <w:next w:val="Normal"/>
    <w:link w:val="Heading1Char"/>
    <w:qFormat/>
    <w:rsid w:val="008B117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RR level 2,Char,Heading 2 Char1,Heading 2 Char Char"/>
    <w:basedOn w:val="Normal"/>
    <w:next w:val="Normal"/>
    <w:link w:val="Heading2Char"/>
    <w:uiPriority w:val="1"/>
    <w:qFormat/>
    <w:rsid w:val="008B11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 Char1 Char,Heading 3 Char Char Char,RR level 3,Heading 3 Char1,Heading 3 Char Char"/>
    <w:basedOn w:val="Normal"/>
    <w:next w:val="Normal"/>
    <w:link w:val="Heading3Char"/>
    <w:uiPriority w:val="2"/>
    <w:qFormat/>
    <w:rsid w:val="000D1C5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next w:val="Normal"/>
    <w:link w:val="Heading4Char"/>
    <w:uiPriority w:val="3"/>
    <w:qFormat/>
    <w:rsid w:val="00876A30"/>
    <w:pPr>
      <w:tabs>
        <w:tab w:val="num" w:pos="2160"/>
      </w:tabs>
      <w:spacing w:line="264" w:lineRule="auto"/>
      <w:ind w:left="2160" w:hanging="516"/>
      <w:outlineLvl w:val="3"/>
    </w:pPr>
    <w:rPr>
      <w:rFonts w:eastAsiaTheme="majorEastAsia" w:cstheme="majorBidi"/>
      <w:bCs/>
      <w:iCs/>
      <w:sz w:val="20"/>
      <w:szCs w:val="20"/>
    </w:rPr>
  </w:style>
  <w:style w:type="paragraph" w:styleId="Heading5">
    <w:name w:val="heading 5"/>
    <w:aliases w:val="RR level 5,test"/>
    <w:next w:val="Normal"/>
    <w:link w:val="Heading5Char"/>
    <w:uiPriority w:val="4"/>
    <w:qFormat/>
    <w:rsid w:val="00876A30"/>
    <w:pPr>
      <w:tabs>
        <w:tab w:val="num" w:pos="2880"/>
      </w:tabs>
      <w:spacing w:line="264" w:lineRule="auto"/>
      <w:ind w:left="2880" w:hanging="720"/>
      <w:outlineLvl w:val="4"/>
    </w:pPr>
    <w:rPr>
      <w:rFonts w:eastAsiaTheme="majorEastAsia" w:cstheme="majorBid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semiHidden/>
    <w:qFormat/>
    <w:rsid w:val="001943B3"/>
    <w:pPr>
      <w:ind w:left="720"/>
      <w:contextualSpacing/>
    </w:pPr>
  </w:style>
  <w:style w:type="paragraph" w:customStyle="1" w:styleId="Parties">
    <w:name w:val="Parties"/>
    <w:uiPriority w:val="10"/>
    <w:qFormat/>
    <w:rsid w:val="0010167E"/>
    <w:pPr>
      <w:numPr>
        <w:numId w:val="1"/>
      </w:numPr>
      <w:tabs>
        <w:tab w:val="num" w:pos="360"/>
      </w:tabs>
      <w:ind w:left="0" w:firstLine="0"/>
    </w:pPr>
  </w:style>
  <w:style w:type="paragraph" w:customStyle="1" w:styleId="Recitals">
    <w:name w:val="Recitals"/>
    <w:next w:val="RecitalsA"/>
    <w:uiPriority w:val="10"/>
    <w:qFormat/>
    <w:rsid w:val="0010167E"/>
    <w:pPr>
      <w:keepNext/>
    </w:pPr>
    <w:rPr>
      <w:b/>
      <w:caps/>
    </w:rPr>
  </w:style>
  <w:style w:type="paragraph" w:customStyle="1" w:styleId="RecitalsA">
    <w:name w:val="Recitals (A)"/>
    <w:uiPriority w:val="10"/>
    <w:qFormat/>
    <w:rsid w:val="0010167E"/>
    <w:pPr>
      <w:numPr>
        <w:numId w:val="2"/>
      </w:numPr>
    </w:pPr>
  </w:style>
  <w:style w:type="paragraph" w:customStyle="1" w:styleId="ALGHd1">
    <w:name w:val="ALG Hd 1"/>
    <w:basedOn w:val="ALGNo1"/>
    <w:next w:val="ALGHd2"/>
    <w:uiPriority w:val="1"/>
    <w:qFormat/>
    <w:rsid w:val="004649A1"/>
    <w:pPr>
      <w:keepNext/>
      <w:jc w:val="left"/>
      <w:outlineLvl w:val="0"/>
    </w:pPr>
    <w:rPr>
      <w:b/>
      <w:caps/>
    </w:rPr>
  </w:style>
  <w:style w:type="paragraph" w:customStyle="1" w:styleId="ALGHd2">
    <w:name w:val="ALG Hd 2"/>
    <w:basedOn w:val="ALGNo2"/>
    <w:next w:val="Body2ALG"/>
    <w:uiPriority w:val="1"/>
    <w:qFormat/>
    <w:rsid w:val="004649A1"/>
    <w:pPr>
      <w:keepNext/>
      <w:jc w:val="left"/>
      <w:outlineLvl w:val="1"/>
    </w:pPr>
    <w:rPr>
      <w:b/>
    </w:rPr>
  </w:style>
  <w:style w:type="paragraph" w:customStyle="1" w:styleId="ALGNo1">
    <w:name w:val="ALG No 1"/>
    <w:uiPriority w:val="1"/>
    <w:qFormat/>
    <w:rsid w:val="0010167E"/>
    <w:pPr>
      <w:numPr>
        <w:numId w:val="3"/>
      </w:numPr>
    </w:pPr>
  </w:style>
  <w:style w:type="paragraph" w:customStyle="1" w:styleId="ALGNo2">
    <w:name w:val="ALG No 2"/>
    <w:uiPriority w:val="1"/>
    <w:qFormat/>
    <w:rsid w:val="0010167E"/>
    <w:pPr>
      <w:numPr>
        <w:ilvl w:val="1"/>
        <w:numId w:val="3"/>
      </w:numPr>
    </w:pPr>
  </w:style>
  <w:style w:type="paragraph" w:customStyle="1" w:styleId="ALGHd3">
    <w:name w:val="ALG Hd 3"/>
    <w:basedOn w:val="ALGNo3"/>
    <w:next w:val="Body3ALG"/>
    <w:uiPriority w:val="1"/>
    <w:qFormat/>
    <w:rsid w:val="004649A1"/>
    <w:pPr>
      <w:keepNext/>
      <w:jc w:val="left"/>
      <w:outlineLvl w:val="2"/>
    </w:pPr>
    <w:rPr>
      <w:b/>
      <w:i/>
    </w:rPr>
  </w:style>
  <w:style w:type="paragraph" w:customStyle="1" w:styleId="ALGNo3">
    <w:name w:val="ALG No 3"/>
    <w:uiPriority w:val="1"/>
    <w:qFormat/>
    <w:rsid w:val="0010167E"/>
    <w:pPr>
      <w:numPr>
        <w:ilvl w:val="2"/>
        <w:numId w:val="3"/>
      </w:numPr>
    </w:pPr>
  </w:style>
  <w:style w:type="paragraph" w:customStyle="1" w:styleId="ALGNo4">
    <w:name w:val="ALG No 4"/>
    <w:uiPriority w:val="1"/>
    <w:qFormat/>
    <w:rsid w:val="0010167E"/>
    <w:pPr>
      <w:numPr>
        <w:ilvl w:val="3"/>
        <w:numId w:val="3"/>
      </w:numPr>
    </w:pPr>
  </w:style>
  <w:style w:type="paragraph" w:customStyle="1" w:styleId="ALGNo5">
    <w:name w:val="ALG No 5"/>
    <w:uiPriority w:val="1"/>
    <w:qFormat/>
    <w:rsid w:val="0010167E"/>
    <w:pPr>
      <w:numPr>
        <w:ilvl w:val="4"/>
        <w:numId w:val="3"/>
      </w:numPr>
    </w:pPr>
  </w:style>
  <w:style w:type="paragraph" w:customStyle="1" w:styleId="Body1ALG">
    <w:name w:val="Body 1 ALG"/>
    <w:uiPriority w:val="1"/>
    <w:qFormat/>
    <w:rsid w:val="00831F99"/>
    <w:pPr>
      <w:ind w:left="624"/>
    </w:pPr>
  </w:style>
  <w:style w:type="paragraph" w:customStyle="1" w:styleId="Body2ALG">
    <w:name w:val="Body 2 ALG"/>
    <w:uiPriority w:val="2"/>
    <w:qFormat/>
    <w:rsid w:val="00831F99"/>
    <w:pPr>
      <w:ind w:left="624"/>
    </w:pPr>
  </w:style>
  <w:style w:type="paragraph" w:customStyle="1" w:styleId="Body3ALG">
    <w:name w:val="Body 3 ALG"/>
    <w:uiPriority w:val="4"/>
    <w:qFormat/>
    <w:rsid w:val="00E36AA8"/>
    <w:pPr>
      <w:ind w:left="1474"/>
    </w:pPr>
  </w:style>
  <w:style w:type="paragraph" w:customStyle="1" w:styleId="Body4ALG">
    <w:name w:val="Body 4 ALG"/>
    <w:uiPriority w:val="5"/>
    <w:qFormat/>
    <w:rsid w:val="00831F99"/>
    <w:pPr>
      <w:ind w:left="1814"/>
    </w:pPr>
  </w:style>
  <w:style w:type="paragraph" w:customStyle="1" w:styleId="Body5ALG">
    <w:name w:val="Body 5 ALG"/>
    <w:uiPriority w:val="7"/>
    <w:qFormat/>
    <w:rsid w:val="00831F99"/>
    <w:pPr>
      <w:ind w:left="2211"/>
    </w:pPr>
  </w:style>
  <w:style w:type="paragraph" w:customStyle="1" w:styleId="ALGHd4">
    <w:name w:val="ALG Hd 4"/>
    <w:basedOn w:val="ALGNo4"/>
    <w:next w:val="Body4ALG"/>
    <w:uiPriority w:val="1"/>
    <w:qFormat/>
    <w:rsid w:val="00064E71"/>
    <w:pPr>
      <w:keepNext/>
      <w:jc w:val="left"/>
    </w:pPr>
    <w:rPr>
      <w:i/>
    </w:rPr>
  </w:style>
  <w:style w:type="paragraph" w:customStyle="1" w:styleId="ScheduleHeading">
    <w:name w:val="Schedule Heading"/>
    <w:next w:val="BodyALG"/>
    <w:uiPriority w:val="28"/>
    <w:qFormat/>
    <w:rsid w:val="000644CF"/>
    <w:pPr>
      <w:pageBreakBefore/>
      <w:widowControl w:val="0"/>
      <w:numPr>
        <w:numId w:val="5"/>
      </w:numPr>
      <w:jc w:val="center"/>
      <w:outlineLvl w:val="0"/>
    </w:pPr>
    <w:rPr>
      <w:b/>
      <w:caps/>
    </w:rPr>
  </w:style>
  <w:style w:type="paragraph" w:customStyle="1" w:styleId="SchedulePart">
    <w:name w:val="Schedule Part"/>
    <w:next w:val="BodyALG"/>
    <w:uiPriority w:val="28"/>
    <w:qFormat/>
    <w:rsid w:val="004649A1"/>
    <w:pPr>
      <w:keepNext/>
      <w:widowControl w:val="0"/>
      <w:numPr>
        <w:ilvl w:val="1"/>
        <w:numId w:val="5"/>
      </w:numPr>
      <w:jc w:val="center"/>
      <w:outlineLvl w:val="1"/>
    </w:pPr>
    <w:rPr>
      <w:b/>
    </w:rPr>
  </w:style>
  <w:style w:type="paragraph" w:customStyle="1" w:styleId="Schedule1Number">
    <w:name w:val="Schedule 1 Number"/>
    <w:uiPriority w:val="30"/>
    <w:qFormat/>
    <w:rsid w:val="0010167E"/>
    <w:pPr>
      <w:numPr>
        <w:ilvl w:val="2"/>
        <w:numId w:val="5"/>
      </w:numPr>
    </w:pPr>
  </w:style>
  <w:style w:type="paragraph" w:customStyle="1" w:styleId="Schedule2Number">
    <w:name w:val="Schedule 2 Number"/>
    <w:uiPriority w:val="30"/>
    <w:qFormat/>
    <w:rsid w:val="0010167E"/>
    <w:pPr>
      <w:numPr>
        <w:ilvl w:val="3"/>
        <w:numId w:val="5"/>
      </w:numPr>
    </w:pPr>
  </w:style>
  <w:style w:type="paragraph" w:customStyle="1" w:styleId="Schedule3Number">
    <w:name w:val="Schedule 3 Number"/>
    <w:uiPriority w:val="30"/>
    <w:qFormat/>
    <w:rsid w:val="0010167E"/>
    <w:pPr>
      <w:numPr>
        <w:ilvl w:val="4"/>
        <w:numId w:val="5"/>
      </w:numPr>
    </w:pPr>
  </w:style>
  <w:style w:type="paragraph" w:customStyle="1" w:styleId="AppendixHeading">
    <w:name w:val="Appendix Heading"/>
    <w:next w:val="BodyALG"/>
    <w:uiPriority w:val="32"/>
    <w:qFormat/>
    <w:rsid w:val="004649A1"/>
    <w:pPr>
      <w:pageBreakBefore/>
      <w:widowControl w:val="0"/>
      <w:numPr>
        <w:numId w:val="6"/>
      </w:numPr>
      <w:jc w:val="center"/>
      <w:outlineLvl w:val="0"/>
    </w:pPr>
    <w:rPr>
      <w:b/>
      <w:caps/>
    </w:rPr>
  </w:style>
  <w:style w:type="paragraph" w:customStyle="1" w:styleId="AppendixPart">
    <w:name w:val="Appendix Part"/>
    <w:next w:val="BodyALG"/>
    <w:uiPriority w:val="33"/>
    <w:qFormat/>
    <w:rsid w:val="004649A1"/>
    <w:pPr>
      <w:keepNext/>
      <w:widowControl w:val="0"/>
      <w:numPr>
        <w:ilvl w:val="1"/>
        <w:numId w:val="6"/>
      </w:numPr>
      <w:jc w:val="center"/>
      <w:outlineLvl w:val="1"/>
    </w:pPr>
    <w:rPr>
      <w:b/>
    </w:rPr>
  </w:style>
  <w:style w:type="paragraph" w:customStyle="1" w:styleId="Appendix1Number">
    <w:name w:val="Appendix 1 Number"/>
    <w:next w:val="Body1ALG"/>
    <w:uiPriority w:val="34"/>
    <w:qFormat/>
    <w:rsid w:val="0010167E"/>
    <w:pPr>
      <w:numPr>
        <w:ilvl w:val="2"/>
        <w:numId w:val="6"/>
      </w:numPr>
    </w:pPr>
  </w:style>
  <w:style w:type="paragraph" w:customStyle="1" w:styleId="Appendix2Number">
    <w:name w:val="Appendix 2 Number"/>
    <w:next w:val="Body2ALG"/>
    <w:uiPriority w:val="34"/>
    <w:qFormat/>
    <w:rsid w:val="0010167E"/>
    <w:pPr>
      <w:numPr>
        <w:ilvl w:val="3"/>
        <w:numId w:val="6"/>
      </w:numPr>
    </w:pPr>
  </w:style>
  <w:style w:type="paragraph" w:customStyle="1" w:styleId="Appendix3Number">
    <w:name w:val="Appendix 3 Number"/>
    <w:next w:val="Body3ALG"/>
    <w:uiPriority w:val="34"/>
    <w:qFormat/>
    <w:rsid w:val="0010167E"/>
    <w:pPr>
      <w:numPr>
        <w:ilvl w:val="4"/>
        <w:numId w:val="6"/>
      </w:numPr>
    </w:pPr>
  </w:style>
  <w:style w:type="paragraph" w:customStyle="1" w:styleId="BulletL1">
    <w:name w:val="Bullet L1"/>
    <w:uiPriority w:val="24"/>
    <w:qFormat/>
    <w:rsid w:val="0010167E"/>
    <w:pPr>
      <w:numPr>
        <w:numId w:val="7"/>
      </w:numPr>
    </w:pPr>
  </w:style>
  <w:style w:type="paragraph" w:styleId="Header">
    <w:name w:val="header"/>
    <w:link w:val="HeaderChar"/>
    <w:uiPriority w:val="99"/>
    <w:unhideWhenUsed/>
    <w:rsid w:val="00DE71D1"/>
    <w:pPr>
      <w:tabs>
        <w:tab w:val="center" w:pos="4513"/>
        <w:tab w:val="right" w:pos="9026"/>
      </w:tabs>
      <w:spacing w:before="0" w:line="240" w:lineRule="auto"/>
    </w:pPr>
    <w:rPr>
      <w:sz w:val="16"/>
    </w:rPr>
  </w:style>
  <w:style w:type="paragraph" w:customStyle="1" w:styleId="Definition">
    <w:name w:val="Definition"/>
    <w:uiPriority w:val="17"/>
    <w:qFormat/>
    <w:rsid w:val="0010167E"/>
    <w:pPr>
      <w:numPr>
        <w:numId w:val="4"/>
      </w:numPr>
    </w:pPr>
  </w:style>
  <w:style w:type="paragraph" w:customStyle="1" w:styleId="Definitiona">
    <w:name w:val="Definition (a)"/>
    <w:uiPriority w:val="18"/>
    <w:qFormat/>
    <w:rsid w:val="0010167E"/>
    <w:pPr>
      <w:numPr>
        <w:ilvl w:val="1"/>
        <w:numId w:val="4"/>
      </w:numPr>
    </w:pPr>
  </w:style>
  <w:style w:type="paragraph" w:customStyle="1" w:styleId="Definitioni">
    <w:name w:val="Definition (i)"/>
    <w:uiPriority w:val="19"/>
    <w:qFormat/>
    <w:rsid w:val="0010167E"/>
    <w:pPr>
      <w:numPr>
        <w:ilvl w:val="2"/>
        <w:numId w:val="4"/>
      </w:numPr>
      <w:ind w:left="1815" w:hanging="454"/>
    </w:pPr>
  </w:style>
  <w:style w:type="paragraph" w:customStyle="1" w:styleId="DefinitionA0">
    <w:name w:val="Definition (A)"/>
    <w:uiPriority w:val="20"/>
    <w:qFormat/>
    <w:rsid w:val="0010167E"/>
    <w:pPr>
      <w:numPr>
        <w:ilvl w:val="3"/>
        <w:numId w:val="4"/>
      </w:numPr>
    </w:pPr>
  </w:style>
  <w:style w:type="character" w:customStyle="1" w:styleId="HeaderChar">
    <w:name w:val="Header Char"/>
    <w:basedOn w:val="DefaultParagraphFont"/>
    <w:link w:val="Header"/>
    <w:uiPriority w:val="99"/>
    <w:rsid w:val="0044085F"/>
    <w:rPr>
      <w:sz w:val="16"/>
    </w:rPr>
  </w:style>
  <w:style w:type="paragraph" w:styleId="Footer">
    <w:name w:val="footer"/>
    <w:link w:val="FooterChar"/>
    <w:uiPriority w:val="99"/>
    <w:unhideWhenUsed/>
    <w:rsid w:val="00C6119B"/>
    <w:pPr>
      <w:tabs>
        <w:tab w:val="center" w:pos="4513"/>
        <w:tab w:val="right" w:pos="9026"/>
      </w:tabs>
      <w:spacing w:before="0" w:line="240" w:lineRule="auto"/>
    </w:pPr>
    <w:rPr>
      <w:color w:val="595959"/>
      <w:sz w:val="16"/>
    </w:rPr>
  </w:style>
  <w:style w:type="character" w:customStyle="1" w:styleId="FooterChar">
    <w:name w:val="Footer Char"/>
    <w:basedOn w:val="DefaultParagraphFont"/>
    <w:link w:val="Footer"/>
    <w:uiPriority w:val="99"/>
    <w:rsid w:val="0044085F"/>
    <w:rPr>
      <w:color w:val="595959"/>
      <w:sz w:val="16"/>
    </w:rPr>
  </w:style>
  <w:style w:type="paragraph" w:styleId="FootnoteText">
    <w:name w:val="footnote text"/>
    <w:link w:val="FootnoteTextChar"/>
    <w:uiPriority w:val="99"/>
    <w:unhideWhenUsed/>
    <w:rsid w:val="00707B6C"/>
    <w:pPr>
      <w:spacing w:before="0" w:after="240" w:line="240" w:lineRule="auto"/>
    </w:pPr>
    <w:rPr>
      <w:i/>
      <w:color w:val="595959"/>
      <w:sz w:val="16"/>
      <w:szCs w:val="20"/>
    </w:rPr>
  </w:style>
  <w:style w:type="character" w:customStyle="1" w:styleId="FootnoteTextChar">
    <w:name w:val="Footnote Text Char"/>
    <w:basedOn w:val="DefaultParagraphFont"/>
    <w:link w:val="FootnoteText"/>
    <w:uiPriority w:val="99"/>
    <w:rsid w:val="00707B6C"/>
    <w:rPr>
      <w:i/>
      <w:color w:val="595959"/>
      <w:sz w:val="16"/>
      <w:szCs w:val="20"/>
    </w:rPr>
  </w:style>
  <w:style w:type="character" w:styleId="FootnoteReference">
    <w:name w:val="footnote reference"/>
    <w:basedOn w:val="DefaultParagraphFont"/>
    <w:uiPriority w:val="99"/>
    <w:unhideWhenUsed/>
    <w:rsid w:val="00E81196"/>
    <w:rPr>
      <w:b/>
      <w:vertAlign w:val="superscript"/>
    </w:rPr>
  </w:style>
  <w:style w:type="paragraph" w:styleId="EndnoteText">
    <w:name w:val="endnote text"/>
    <w:link w:val="EndnoteTextChar"/>
    <w:uiPriority w:val="99"/>
    <w:unhideWhenUsed/>
    <w:rsid w:val="00147A60"/>
    <w:pPr>
      <w:spacing w:before="0" w:line="240" w:lineRule="auto"/>
    </w:pPr>
    <w:rPr>
      <w:sz w:val="16"/>
      <w:szCs w:val="20"/>
    </w:rPr>
  </w:style>
  <w:style w:type="character" w:customStyle="1" w:styleId="EndnoteTextChar">
    <w:name w:val="Endnote Text Char"/>
    <w:basedOn w:val="DefaultParagraphFont"/>
    <w:link w:val="EndnoteText"/>
    <w:uiPriority w:val="99"/>
    <w:rsid w:val="004A1800"/>
    <w:rPr>
      <w:sz w:val="16"/>
      <w:szCs w:val="20"/>
    </w:rPr>
  </w:style>
  <w:style w:type="paragraph" w:styleId="TOC1">
    <w:name w:val="toc 1"/>
    <w:next w:val="BodyALG"/>
    <w:autoRedefine/>
    <w:uiPriority w:val="39"/>
    <w:unhideWhenUsed/>
    <w:rsid w:val="00F2769A"/>
    <w:pPr>
      <w:tabs>
        <w:tab w:val="right" w:leader="dot" w:pos="9877"/>
      </w:tabs>
      <w:spacing w:before="120"/>
      <w:ind w:left="624" w:hanging="624"/>
    </w:pPr>
  </w:style>
  <w:style w:type="paragraph" w:styleId="TOC2">
    <w:name w:val="toc 2"/>
    <w:next w:val="BodyALG"/>
    <w:autoRedefine/>
    <w:uiPriority w:val="39"/>
    <w:unhideWhenUsed/>
    <w:rsid w:val="00F737C9"/>
    <w:pPr>
      <w:tabs>
        <w:tab w:val="right" w:leader="dot" w:pos="9877"/>
      </w:tabs>
      <w:spacing w:before="120"/>
      <w:ind w:left="454" w:hanging="454"/>
    </w:pPr>
  </w:style>
  <w:style w:type="character" w:customStyle="1" w:styleId="Heading1Char">
    <w:name w:val="Heading 1 Char"/>
    <w:aliases w:val="Heading 1 Char1 Char1,Heading 1 Char Char Char1,Heading 1 Char1 Char Char Char,Heading 1 Char Char Char Char Char,Heading 1 Char Char1 Char,Heading 1 Char1 Char Char1,Heading 1 Char Char Char Char1,Heading 1 Char1 Char Char Char Char Char"/>
    <w:basedOn w:val="DefaultParagraphFont"/>
    <w:link w:val="Heading1"/>
    <w:uiPriority w:val="99"/>
    <w:semiHidden/>
    <w:rsid w:val="004205D4"/>
    <w:rPr>
      <w:rFonts w:asciiTheme="majorHAnsi" w:eastAsiaTheme="majorEastAsia" w:hAnsiTheme="majorHAnsi" w:cstheme="majorBidi"/>
      <w:b/>
      <w:bCs/>
      <w:color w:val="365F91" w:themeColor="accent1" w:themeShade="BF"/>
      <w:sz w:val="28"/>
      <w:szCs w:val="28"/>
    </w:rPr>
  </w:style>
  <w:style w:type="paragraph" w:styleId="TOCHeading">
    <w:name w:val="TOC Heading"/>
    <w:next w:val="Normal"/>
    <w:uiPriority w:val="99"/>
    <w:semiHidden/>
    <w:rsid w:val="006D7D4D"/>
    <w:pPr>
      <w:spacing w:line="276" w:lineRule="auto"/>
      <w:jc w:val="center"/>
    </w:pPr>
    <w:rPr>
      <w:rFonts w:eastAsiaTheme="majorEastAsia" w:cstheme="majorBidi"/>
      <w:b/>
      <w:bCs/>
      <w:szCs w:val="28"/>
      <w:lang w:val="en-US" w:eastAsia="ja-JP"/>
    </w:rPr>
  </w:style>
  <w:style w:type="paragraph" w:styleId="TOC3">
    <w:name w:val="toc 3"/>
    <w:basedOn w:val="TOC1"/>
    <w:next w:val="BodyALG"/>
    <w:autoRedefine/>
    <w:uiPriority w:val="39"/>
    <w:rsid w:val="0027119E"/>
    <w:pPr>
      <w:ind w:firstLine="0"/>
      <w:jc w:val="center"/>
    </w:pPr>
    <w:rPr>
      <w:noProof/>
    </w:rPr>
  </w:style>
  <w:style w:type="paragraph" w:styleId="BalloonText">
    <w:name w:val="Balloon Text"/>
    <w:basedOn w:val="Normal"/>
    <w:link w:val="BalloonTextChar"/>
    <w:uiPriority w:val="99"/>
    <w:semiHidden/>
    <w:rsid w:val="008B1173"/>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5D4"/>
    <w:rPr>
      <w:rFonts w:ascii="Tahoma" w:hAnsi="Tahoma" w:cs="Tahoma"/>
      <w:sz w:val="16"/>
      <w:szCs w:val="16"/>
    </w:rPr>
  </w:style>
  <w:style w:type="character" w:customStyle="1" w:styleId="Heading2Char">
    <w:name w:val="Heading 2 Char"/>
    <w:aliases w:val="RR level 2 Char,Char Char,Heading 2 Char1 Char,Heading 2 Char Char Char"/>
    <w:basedOn w:val="DefaultParagraphFont"/>
    <w:link w:val="Heading2"/>
    <w:uiPriority w:val="1"/>
    <w:rsid w:val="004205D4"/>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0D2F0F"/>
    <w:rPr>
      <w:b w:val="0"/>
      <w:i w:val="0"/>
      <w:color w:val="0000FF" w:themeColor="hyperlink"/>
      <w:u w:val="single"/>
    </w:rPr>
  </w:style>
  <w:style w:type="table" w:styleId="TableGrid">
    <w:name w:val="Table Grid"/>
    <w:basedOn w:val="TableNormal"/>
    <w:uiPriority w:val="59"/>
    <w:rsid w:val="00967917"/>
    <w:pPr>
      <w:spacing w:before="80" w:after="8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2CD5C4"/>
      </w:tcPr>
    </w:tblStylePr>
  </w:style>
  <w:style w:type="paragraph" w:customStyle="1" w:styleId="BodyALG">
    <w:name w:val="Body ALG"/>
    <w:link w:val="BodyALGChar"/>
    <w:qFormat/>
    <w:rsid w:val="005F48B0"/>
  </w:style>
  <w:style w:type="paragraph" w:customStyle="1" w:styleId="ALGNo6">
    <w:name w:val="ALG No 6"/>
    <w:uiPriority w:val="1"/>
    <w:unhideWhenUsed/>
    <w:qFormat/>
    <w:rsid w:val="0010167E"/>
    <w:pPr>
      <w:numPr>
        <w:ilvl w:val="5"/>
        <w:numId w:val="3"/>
      </w:numPr>
    </w:pPr>
  </w:style>
  <w:style w:type="paragraph" w:customStyle="1" w:styleId="ALGNo7">
    <w:name w:val="ALG No 7"/>
    <w:uiPriority w:val="1"/>
    <w:unhideWhenUsed/>
    <w:qFormat/>
    <w:rsid w:val="0010167E"/>
    <w:pPr>
      <w:numPr>
        <w:ilvl w:val="6"/>
        <w:numId w:val="3"/>
      </w:numPr>
    </w:pPr>
  </w:style>
  <w:style w:type="paragraph" w:customStyle="1" w:styleId="Body6ALG">
    <w:name w:val="Body 6 ALG"/>
    <w:uiPriority w:val="9"/>
    <w:qFormat/>
    <w:rsid w:val="00831F99"/>
    <w:pPr>
      <w:ind w:left="2608"/>
    </w:pPr>
  </w:style>
  <w:style w:type="paragraph" w:customStyle="1" w:styleId="Body7ALG">
    <w:name w:val="Body 7 ALG"/>
    <w:uiPriority w:val="10"/>
    <w:qFormat/>
    <w:rsid w:val="00831F99"/>
    <w:pPr>
      <w:ind w:left="3005"/>
    </w:pPr>
  </w:style>
  <w:style w:type="paragraph" w:customStyle="1" w:styleId="Schedule4Number">
    <w:name w:val="Schedule 4 Number"/>
    <w:uiPriority w:val="30"/>
    <w:qFormat/>
    <w:rsid w:val="0010167E"/>
    <w:pPr>
      <w:numPr>
        <w:ilvl w:val="5"/>
        <w:numId w:val="5"/>
      </w:numPr>
    </w:pPr>
  </w:style>
  <w:style w:type="paragraph" w:customStyle="1" w:styleId="Schedule5Number">
    <w:name w:val="Schedule 5 Number"/>
    <w:uiPriority w:val="30"/>
    <w:qFormat/>
    <w:rsid w:val="0010167E"/>
    <w:pPr>
      <w:numPr>
        <w:ilvl w:val="6"/>
        <w:numId w:val="5"/>
      </w:numPr>
    </w:pPr>
  </w:style>
  <w:style w:type="paragraph" w:customStyle="1" w:styleId="Appendix4Number">
    <w:name w:val="Appendix 4 Number"/>
    <w:next w:val="Body4ALG"/>
    <w:uiPriority w:val="34"/>
    <w:qFormat/>
    <w:rsid w:val="0010167E"/>
    <w:pPr>
      <w:numPr>
        <w:ilvl w:val="5"/>
        <w:numId w:val="6"/>
      </w:numPr>
      <w:ind w:left="1815" w:hanging="454"/>
    </w:pPr>
  </w:style>
  <w:style w:type="paragraph" w:customStyle="1" w:styleId="Appendix5Number">
    <w:name w:val="Appendix 5 Number"/>
    <w:next w:val="Body5ALG"/>
    <w:uiPriority w:val="34"/>
    <w:qFormat/>
    <w:rsid w:val="0010167E"/>
    <w:pPr>
      <w:numPr>
        <w:ilvl w:val="6"/>
        <w:numId w:val="6"/>
      </w:numPr>
    </w:pPr>
  </w:style>
  <w:style w:type="table" w:customStyle="1" w:styleId="TableGrid1">
    <w:name w:val="Table Grid1"/>
    <w:basedOn w:val="TableNormal"/>
    <w:next w:val="TableGrid"/>
    <w:uiPriority w:val="59"/>
    <w:rsid w:val="00664100"/>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1Heading">
    <w:name w:val="Schedule 1 Heading"/>
    <w:basedOn w:val="Schedule1Number"/>
    <w:next w:val="Schedule2Heading"/>
    <w:uiPriority w:val="29"/>
    <w:qFormat/>
    <w:rsid w:val="00707B6C"/>
    <w:pPr>
      <w:keepNext/>
      <w:jc w:val="left"/>
      <w:outlineLvl w:val="0"/>
    </w:pPr>
    <w:rPr>
      <w:b/>
      <w:caps/>
    </w:rPr>
  </w:style>
  <w:style w:type="paragraph" w:customStyle="1" w:styleId="Schedule2Heading">
    <w:name w:val="Schedule 2 Heading"/>
    <w:basedOn w:val="Schedule2Number"/>
    <w:next w:val="Body2ALG"/>
    <w:uiPriority w:val="29"/>
    <w:qFormat/>
    <w:rsid w:val="00707B6C"/>
    <w:pPr>
      <w:keepNext/>
      <w:jc w:val="left"/>
      <w:outlineLvl w:val="1"/>
    </w:pPr>
    <w:rPr>
      <w:b/>
    </w:rPr>
  </w:style>
  <w:style w:type="paragraph" w:customStyle="1" w:styleId="Schedule3Heading">
    <w:name w:val="Schedule 3 Heading"/>
    <w:basedOn w:val="Schedule3Number"/>
    <w:next w:val="Body3ALG"/>
    <w:uiPriority w:val="29"/>
    <w:qFormat/>
    <w:rsid w:val="00707B6C"/>
    <w:pPr>
      <w:keepNext/>
      <w:jc w:val="left"/>
      <w:outlineLvl w:val="2"/>
    </w:pPr>
    <w:rPr>
      <w:b/>
      <w:i/>
    </w:rPr>
  </w:style>
  <w:style w:type="character" w:customStyle="1" w:styleId="Heading3Char">
    <w:name w:val="Heading 3 Char"/>
    <w:aliases w:val="Heading 3 Char1 Char Char,Heading 3 Char Char Char Char,RR level 3 Char,Heading 3 Char1 Char1,Heading 3 Char Char Char1"/>
    <w:basedOn w:val="DefaultParagraphFont"/>
    <w:link w:val="Heading3"/>
    <w:uiPriority w:val="99"/>
    <w:semiHidden/>
    <w:rsid w:val="000D1C53"/>
    <w:rPr>
      <w:rFonts w:asciiTheme="majorHAnsi" w:eastAsiaTheme="majorEastAsia" w:hAnsiTheme="majorHAnsi" w:cstheme="majorBidi"/>
      <w:b/>
      <w:bCs/>
      <w:color w:val="4F81BD" w:themeColor="accent1"/>
    </w:rPr>
  </w:style>
  <w:style w:type="table" w:customStyle="1" w:styleId="TableGrid11">
    <w:name w:val="Table Grid11"/>
    <w:basedOn w:val="TableNormal"/>
    <w:next w:val="TableGrid"/>
    <w:uiPriority w:val="59"/>
    <w:rsid w:val="00474FDB"/>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Title">
    <w:name w:val="TOC Title"/>
    <w:basedOn w:val="BodyALG"/>
    <w:next w:val="BodyALG"/>
    <w:uiPriority w:val="99"/>
    <w:unhideWhenUsed/>
    <w:qFormat/>
    <w:rsid w:val="00904993"/>
    <w:pPr>
      <w:jc w:val="center"/>
    </w:pPr>
    <w:rPr>
      <w:rFonts w:ascii="Arial Bold" w:hAnsi="Arial Bold"/>
      <w:b/>
      <w:caps/>
    </w:rPr>
  </w:style>
  <w:style w:type="paragraph" w:customStyle="1" w:styleId="Singleline">
    <w:name w:val="Singleline"/>
    <w:uiPriority w:val="99"/>
    <w:qFormat/>
    <w:rsid w:val="00293FA7"/>
    <w:pPr>
      <w:spacing w:before="0" w:line="240" w:lineRule="auto"/>
    </w:pPr>
  </w:style>
  <w:style w:type="paragraph" w:customStyle="1" w:styleId="PrecNote1">
    <w:name w:val="PrecNote1"/>
    <w:uiPriority w:val="99"/>
    <w:qFormat/>
    <w:rsid w:val="00640547"/>
    <w:pPr>
      <w:numPr>
        <w:numId w:val="8"/>
      </w:numPr>
    </w:pPr>
    <w:rPr>
      <w:b/>
      <w:i/>
    </w:rPr>
  </w:style>
  <w:style w:type="paragraph" w:customStyle="1" w:styleId="BulletL2">
    <w:name w:val="Bullet L2"/>
    <w:uiPriority w:val="25"/>
    <w:qFormat/>
    <w:rsid w:val="008C74BA"/>
    <w:pPr>
      <w:numPr>
        <w:ilvl w:val="1"/>
        <w:numId w:val="7"/>
      </w:numPr>
    </w:pPr>
  </w:style>
  <w:style w:type="table" w:customStyle="1" w:styleId="ALGTable">
    <w:name w:val="ALG Table"/>
    <w:basedOn w:val="TableNormal"/>
    <w:uiPriority w:val="99"/>
    <w:rsid w:val="00967917"/>
    <w:pPr>
      <w:spacing w:before="80" w:after="80" w:line="240" w:lineRule="auto"/>
      <w:jc w:val="left"/>
    </w:pPr>
    <w:rPr>
      <w:rFonts w:eastAsia="Batang"/>
      <w:sz w:val="1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18"/>
      </w:rPr>
      <w:tblPr/>
      <w:tcPr>
        <w:shd w:val="clear" w:color="auto" w:fill="2CD5C4"/>
      </w:tcPr>
    </w:tblStylePr>
  </w:style>
  <w:style w:type="paragraph" w:customStyle="1" w:styleId="Schedule4Heading">
    <w:name w:val="Schedule 4 Heading"/>
    <w:basedOn w:val="Schedule4Number"/>
    <w:next w:val="Body4ALG"/>
    <w:uiPriority w:val="29"/>
    <w:qFormat/>
    <w:rsid w:val="00921BAE"/>
    <w:pPr>
      <w:keepNext/>
      <w:ind w:left="1815" w:hanging="454"/>
    </w:pPr>
    <w:rPr>
      <w:i/>
      <w:lang w:val="en-GB"/>
    </w:rPr>
  </w:style>
  <w:style w:type="paragraph" w:customStyle="1" w:styleId="L2Para">
    <w:name w:val="L2Para"/>
    <w:next w:val="Normal"/>
    <w:uiPriority w:val="2"/>
    <w:qFormat/>
    <w:rsid w:val="00980AE7"/>
    <w:pPr>
      <w:spacing w:line="264" w:lineRule="auto"/>
      <w:ind w:left="720"/>
    </w:pPr>
    <w:rPr>
      <w:sz w:val="20"/>
      <w:szCs w:val="20"/>
    </w:rPr>
  </w:style>
  <w:style w:type="paragraph" w:customStyle="1" w:styleId="Style1">
    <w:name w:val="Style (1)"/>
    <w:uiPriority w:val="3"/>
    <w:qFormat/>
    <w:rsid w:val="00980AE7"/>
    <w:pPr>
      <w:numPr>
        <w:numId w:val="10"/>
      </w:numPr>
      <w:spacing w:line="264" w:lineRule="auto"/>
    </w:pPr>
    <w:rPr>
      <w:sz w:val="20"/>
      <w:szCs w:val="20"/>
    </w:rPr>
  </w:style>
  <w:style w:type="paragraph" w:customStyle="1" w:styleId="L1Para">
    <w:name w:val="L1Para"/>
    <w:next w:val="Normal"/>
    <w:uiPriority w:val="99"/>
    <w:qFormat/>
    <w:rsid w:val="00EC3F17"/>
    <w:pPr>
      <w:spacing w:before="120" w:line="264" w:lineRule="auto"/>
      <w:ind w:left="720"/>
    </w:pPr>
    <w:rPr>
      <w:rFonts w:eastAsia="Verdana" w:cs="Times New Roman"/>
      <w:sz w:val="20"/>
      <w:szCs w:val="20"/>
    </w:rPr>
  </w:style>
  <w:style w:type="paragraph" w:styleId="Title">
    <w:name w:val="Title"/>
    <w:basedOn w:val="Normal"/>
    <w:next w:val="Normal"/>
    <w:link w:val="TitleChar"/>
    <w:qFormat/>
    <w:rsid w:val="00B67D80"/>
    <w:pPr>
      <w:widowControl w:val="0"/>
      <w:spacing w:after="60" w:line="240" w:lineRule="auto"/>
      <w:jc w:val="left"/>
      <w:outlineLvl w:val="0"/>
    </w:pPr>
    <w:rPr>
      <w:rFonts w:eastAsia="Times New Roman" w:cs="Times New Roman"/>
      <w:b/>
      <w:bCs/>
      <w:kern w:val="28"/>
      <w:sz w:val="24"/>
      <w:szCs w:val="32"/>
    </w:rPr>
  </w:style>
  <w:style w:type="character" w:customStyle="1" w:styleId="TitleChar">
    <w:name w:val="Title Char"/>
    <w:basedOn w:val="DefaultParagraphFont"/>
    <w:link w:val="Title"/>
    <w:rsid w:val="00B67D80"/>
    <w:rPr>
      <w:rFonts w:eastAsia="Times New Roman" w:cs="Times New Roman"/>
      <w:b/>
      <w:bCs/>
      <w:kern w:val="28"/>
      <w:sz w:val="24"/>
      <w:szCs w:val="32"/>
    </w:rPr>
  </w:style>
  <w:style w:type="character" w:styleId="PlaceholderText">
    <w:name w:val="Placeholder Text"/>
    <w:basedOn w:val="DefaultParagraphFont"/>
    <w:uiPriority w:val="99"/>
    <w:semiHidden/>
    <w:rsid w:val="00917D4A"/>
    <w:rPr>
      <w:color w:val="808080"/>
    </w:rPr>
  </w:style>
  <w:style w:type="paragraph" w:customStyle="1" w:styleId="DocID">
    <w:name w:val="DocID"/>
    <w:basedOn w:val="Normal"/>
    <w:link w:val="DocIDChar"/>
    <w:rsid w:val="00917D4A"/>
    <w:pPr>
      <w:tabs>
        <w:tab w:val="left" w:pos="3011"/>
        <w:tab w:val="center" w:pos="4819"/>
      </w:tabs>
      <w:jc w:val="left"/>
    </w:pPr>
    <w:rPr>
      <w:rFonts w:cs="Arial"/>
      <w:color w:val="252525"/>
      <w:sz w:val="16"/>
    </w:rPr>
  </w:style>
  <w:style w:type="character" w:customStyle="1" w:styleId="BodyALGChar">
    <w:name w:val="Body ALG Char"/>
    <w:basedOn w:val="DefaultParagraphFont"/>
    <w:link w:val="BodyALG"/>
    <w:rsid w:val="00917D4A"/>
  </w:style>
  <w:style w:type="character" w:customStyle="1" w:styleId="DocIDChar">
    <w:name w:val="DocID Char"/>
    <w:basedOn w:val="BodyALGChar"/>
    <w:link w:val="DocID"/>
    <w:rsid w:val="00917D4A"/>
    <w:rPr>
      <w:rFonts w:cs="Arial"/>
      <w:color w:val="252525"/>
      <w:sz w:val="16"/>
    </w:rPr>
  </w:style>
  <w:style w:type="character" w:customStyle="1" w:styleId="Heading4Char">
    <w:name w:val="Heading 4 Char"/>
    <w:basedOn w:val="DefaultParagraphFont"/>
    <w:link w:val="Heading4"/>
    <w:uiPriority w:val="3"/>
    <w:rsid w:val="00876A30"/>
    <w:rPr>
      <w:rFonts w:eastAsiaTheme="majorEastAsia" w:cstheme="majorBidi"/>
      <w:bCs/>
      <w:iCs/>
      <w:sz w:val="20"/>
      <w:szCs w:val="20"/>
    </w:rPr>
  </w:style>
  <w:style w:type="character" w:customStyle="1" w:styleId="Heading5Char">
    <w:name w:val="Heading 5 Char"/>
    <w:aliases w:val="RR level 5 Char,test Char"/>
    <w:basedOn w:val="DefaultParagraphFont"/>
    <w:link w:val="Heading5"/>
    <w:uiPriority w:val="4"/>
    <w:rsid w:val="00876A30"/>
    <w:rPr>
      <w:rFonts w:eastAsiaTheme="majorEastAsia"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24614">
      <w:bodyDiv w:val="1"/>
      <w:marLeft w:val="0"/>
      <w:marRight w:val="0"/>
      <w:marTop w:val="0"/>
      <w:marBottom w:val="0"/>
      <w:divBdr>
        <w:top w:val="none" w:sz="0" w:space="0" w:color="auto"/>
        <w:left w:val="none" w:sz="0" w:space="0" w:color="auto"/>
        <w:bottom w:val="none" w:sz="0" w:space="0" w:color="auto"/>
        <w:right w:val="none" w:sz="0" w:space="0" w:color="auto"/>
      </w:divBdr>
    </w:div>
    <w:div w:id="824902220">
      <w:bodyDiv w:val="1"/>
      <w:marLeft w:val="0"/>
      <w:marRight w:val="0"/>
      <w:marTop w:val="0"/>
      <w:marBottom w:val="0"/>
      <w:divBdr>
        <w:top w:val="none" w:sz="0" w:space="0" w:color="auto"/>
        <w:left w:val="none" w:sz="0" w:space="0" w:color="auto"/>
        <w:bottom w:val="none" w:sz="0" w:space="0" w:color="auto"/>
        <w:right w:val="none" w:sz="0" w:space="0" w:color="auto"/>
      </w:divBdr>
    </w:div>
    <w:div w:id="158467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LTemplates\WorkgroupTemplates\Legal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B8BF42DF1E48F9BDB8FD9C823487EE"/>
        <w:category>
          <w:name w:val="General"/>
          <w:gallery w:val="placeholder"/>
        </w:category>
        <w:types>
          <w:type w:val="bbPlcHdr"/>
        </w:types>
        <w:behaviors>
          <w:behavior w:val="content"/>
        </w:behaviors>
        <w:guid w:val="{2F9FA50D-4102-42E6-8CF3-21312F132745}"/>
      </w:docPartPr>
      <w:docPartBody>
        <w:p w:rsidR="00000000" w:rsidRDefault="00F45B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544"/>
    <w:rsid w:val="00011487"/>
    <w:rsid w:val="000928AA"/>
    <w:rsid w:val="000A68D2"/>
    <w:rsid w:val="001107D2"/>
    <w:rsid w:val="00156357"/>
    <w:rsid w:val="001D2CFF"/>
    <w:rsid w:val="001F3DFC"/>
    <w:rsid w:val="00204286"/>
    <w:rsid w:val="002A3544"/>
    <w:rsid w:val="002A3AB9"/>
    <w:rsid w:val="002E46E9"/>
    <w:rsid w:val="00377A4E"/>
    <w:rsid w:val="00381B2E"/>
    <w:rsid w:val="003C4767"/>
    <w:rsid w:val="003E7A46"/>
    <w:rsid w:val="0045325C"/>
    <w:rsid w:val="00481DE4"/>
    <w:rsid w:val="00490D97"/>
    <w:rsid w:val="0049335F"/>
    <w:rsid w:val="004A2BA6"/>
    <w:rsid w:val="004D5884"/>
    <w:rsid w:val="00561E7B"/>
    <w:rsid w:val="005639FC"/>
    <w:rsid w:val="00595143"/>
    <w:rsid w:val="00623FAF"/>
    <w:rsid w:val="0070618B"/>
    <w:rsid w:val="00735059"/>
    <w:rsid w:val="00793140"/>
    <w:rsid w:val="007C047E"/>
    <w:rsid w:val="008472FB"/>
    <w:rsid w:val="008B1C9B"/>
    <w:rsid w:val="008E340E"/>
    <w:rsid w:val="00A01993"/>
    <w:rsid w:val="00AE1399"/>
    <w:rsid w:val="00BF4E01"/>
    <w:rsid w:val="00C0481F"/>
    <w:rsid w:val="00C33937"/>
    <w:rsid w:val="00D50459"/>
    <w:rsid w:val="00E503A6"/>
    <w:rsid w:val="00EE0738"/>
    <w:rsid w:val="00F22BD7"/>
    <w:rsid w:val="00F30C15"/>
    <w:rsid w:val="00F43168"/>
    <w:rsid w:val="00F45B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5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d = " h t t p : / / w w w . w 3 . o r g / 2 0 0 1 / X M L S c h e m a "   x m l n s : x s i = " h t t p : / / w w w . w 3 . o r g / 2 0 0 1 / X M L S c h e m a - i n s t a n c e "   i d = " e 5 6 2 7 1 f 6 - d 6 c 0 - 4 d f a - b a d 5 - 6 d 3 7 8 3 f 8 1 b c 5 "   t e m p l a t e F u l l N a m e = " C : \ U s e r s \ m n a g l e \ A p p D a t a \ R o a m i n g \ m i c r o s o f t \ t e m p l a t e s \ N o r m a l . d o t m "   v e r s i o n = " 0 "   s c h e m a V e r s i o n = " 1 "   l a n g u a g e I s o = " e n - I E "   o f f i c e I d = " 8 0 b 4 1 5 4 1 - e 7 a e - 4 f d f - 8 e 6 b - a 9 4 c 0 0 6 f 2 c 8 c "   i m p o r t D a t a = " f a l s e "   w i z a r d H e i g h t = " 0 "   w i z a r d W i d t h = " 0 "   w i z a r d P a n e l W i d t h = " 0 "   h i d e W i z a r d I f V a l i d = " f a l s e "   w i z a r d T a b P o s i t i o n = " n o n e "   x m l n s = " h t t p : / / i p h e l i o n . c o m / w o r d / o u t l i n e / " >  
     < a u t h o r >  
         < l o c a l i z e d P r o f i l e s / >  
         < f r o m S e a r c h C o n t a c t > t r u e < / f r o m S e a r c h C o n t a c t >  
         < i d > 2 f 6 2 7 5 b d - 2 4 5 8 - 4 6 5 1 - 9 6 9 4 - 2 f f 2 e b 6 4 9 b e 6 < / i d >  
         < n a m e > C a i t r i o n a   C l e a r < / n a m e >  
         < i n i t i a l s / >  
         < p r i m a r y O f f i c e > D u b l i n < / p r i m a r y O f f i c e >  
         < p r i m a r y O f f i c e I d > 8 0 b 4 1 5 4 1 - e 7 a e - 4 f d f - 8 e 6 b - a 9 4 c 0 0 6 f 2 c 8 c < / p r i m a r y O f f i c e I d >  
         < p r i m a r y L a n g u a g e I s o > e n - I E < / p r i m a r y L a n g u a g e I s o >  
         < p h o n e N u m b e r F o r m a t > + 3 5 3   1   6 4 9   X X X X < / p h o n e N u m b e r F o r m a t >  
         < f a x N u m b e r F o r m a t > + 3 5 3   1   6 4 9   X X X X < / f a x N u m b e r F o r m a t >  
         < m o b i l e N u m b e r F o r m a t / >  
         < j o b D e s c r i p t i o n > S o l i c i t o r < / j o b D e s c r i p t i o n >  
         < d e p a r t m e n t > C o r p o r a t e < / d e p a r t m e n t >  
         < e m a i l > c c l e a r @ a l g o o d b o d y . c o m < / e m a i l >  
         < r a w D i r e c t L i n e > 3 5 3 1 6 4 9 2 5 6 3 < / r a w D i r e c t L i n e >  
         < r a w D i r e c t F a x > 3 5 3 1 6 4 9 < / r a w D i r e c t F a x >  
         < m o b i l e > + 3 5 3 8 5 8 7 2 4 2 5 5 < / m o b i l e >  
         < l o g i n > c c l e a r < / l o g i n >  
         < e m p l y e e I d / >  
     < / a u t h o r >  
     < c o n t e n t C o n t r o l s >  
         < c o n t e n t C o n t r o l   i d = " f b f b a 7 1 8 - c 4 6 4 - 4 3 d 6 - 8 f 0 7 - b 3 3 7 b c 3 6 0 8 0 9 "   n a m e = " D o c I d "   a s s e m b l y = " I p h e l i o n . O u t l i n e . W o r d . d l l "   t y p e = " I p h e l i o n . O u t l i n e . W o r d . R e n d e r e r s . T e x t R e n d e r e r "   o r d e r = " 3 "   a c t i v e = " t r u e "   e n t i t y I d = " 7 4 c b 2 5 2 9 - e 7 2 0 - 4 0 7 b - 8 e 9 5 - 8 2 0 3 9 d 0 a f 8 9 c " 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7 4 c b 2 5 2 9 - e 7 2 0 - 4 0 7 b - 8 e 9 5 - 8 2 0 3 9 d 0 a f 8 9 c " 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7 4 c b 2 5 2 9 - e 7 2 0 - 4 0 7 b - 8 e 9 5 - 8 2 0 3 9 d 0 a f 8 9 c "   l i n k e d E n t i t y I d = " 0 0 0 0 0 0 0 0 - 0 0 0 0 - 0 0 0 0 - 0 0 0 0 - 0 0 0 0 0 0 0 0 0 0 0 0 "   l i n k e d F i e l d I d = " 0 0 0 0 0 0 0 0 - 0 0 0 0 - 0 0 0 0 - 0 0 0 0 - 0 0 0 0 0 0 0 0 0 0 0 0 "   l i n k e d F i e l d I n d e x = " 0 "   i n d e x = " 0 "   f i e l d T y p e = " q u e s t i o n "   f o r m a t E v a l u a t o r T y p e = " f o r m a t S t r i n g "   c o i D o c u m e n t F i e l d = " C l i e n t "   h i d d e n = " f a l s e " > 3 0 6 4 3 7 < / f i e l d >  
         < f i e l d   i d = " d 1 a 0 c 0 3 d - 0 2 5 8 - 4 7 a c - b b 6 d - 4 5 8 a 7 8 e 5 6 4 7 4 "   n a m e = " C l i e n t N a m e "   t y p e = " "   o r d e r = " 9 9 9 "   e n t i t y I d = " 7 4 c b 2 5 2 9 - e 7 2 0 - 4 0 7 b - 8 e 9 5 - 8 2 0 3 9 d 0 a f 8 9 c "   l i n k e d E n t i t y I d = " 0 0 0 0 0 0 0 0 - 0 0 0 0 - 0 0 0 0 - 0 0 0 0 - 0 0 0 0 0 0 0 0 0 0 0 0 "   l i n k e d F i e l d I d = " 0 0 0 0 0 0 0 0 - 0 0 0 0 - 0 0 0 0 - 0 0 0 0 - 0 0 0 0 0 0 0 0 0 0 0 0 "   l i n k e d F i e l d I n d e x = " 0 "   i n d e x = " 0 "   f i e l d T y p e = " q u e s t i o n "   f o r m a t E v a l u a t o r T y p e = " f o r m a t S t r i n g "   c o i D o c u m e n t F i e l d = " C l i e n t N a m e "   h i d d e n = " f a l s e " > L i n k   F u n d   M a n a g e r s   S o l u t i o n s   ( I r e l a n d )   L < / f i e l d >  
         < f i e l d   i d = " 3 6 2 d d c e b - 8 f c 2 - 4 e a d - b 5 3 5 - e d 9 e 8 3 5 9 8 3 8 4 "   n a m e = " M a t t e r "   t y p e = " "   o r d e r = " 9 9 9 "   e n t i t y I d = " 7 4 c b 2 5 2 9 - e 7 2 0 - 4 0 7 b - 8 e 9 5 - 8 2 0 3 9 d 0 a f 8 9 c "   l i n k e d E n t i t y I d = " 0 0 0 0 0 0 0 0 - 0 0 0 0 - 0 0 0 0 - 0 0 0 0 - 0 0 0 0 0 0 0 0 0 0 0 0 "   l i n k e d F i e l d I d = " 0 0 0 0 0 0 0 0 - 0 0 0 0 - 0 0 0 0 - 0 0 0 0 - 0 0 0 0 0 0 0 0 0 0 0 0 "   l i n k e d F i e l d I n d e x = " 0 "   i n d e x = " 0 "   f i e l d T y p e = " q u e s t i o n "   f o r m a t E v a l u a t o r T y p e = " f o r m a t S t r i n g "   c o i D o c u m e n t F i e l d = " M a t t e r "   h i d d e n = " f a l s e " > 0 1 4 2 5 6 6 9 < / f i e l d >  
         < f i e l d   i d = " a 3 e e f 5 1 4 - 2 4 7 f - 4 2 8 1 - b 6 a 2 - 3 b 4 d 3 4 b c 6 8 c f "   n a m e = " M a t t e r N a m e "   t y p e = " "   o r d e r = " 9 9 9 "   e n t i t y I d = " 7 4 c b 2 5 2 9 - e 7 2 0 - 4 0 7 b - 8 e 9 5 - 8 2 0 3 9 d 0 a f 8 9 c "   l i n k e d E n t i t y I d = " 0 0 0 0 0 0 0 0 - 0 0 0 0 - 0 0 0 0 - 0 0 0 0 - 0 0 0 0 0 0 0 0 0 0 0 0 "   l i n k e d F i e l d I d = " 0 0 0 0 0 0 0 0 - 0 0 0 0 - 0 0 0 0 - 0 0 0 0 - 0 0 0 0 0 0 0 0 0 0 0 0 "   l i n k e d F i e l d I n d e x = " 0 "   i n d e x = " 0 "   f i e l d T y p e = " q u e s t i o n "   f o r m a t E v a l u a t o r T y p e = " f o r m a t S t r i n g "   c o i D o c u m e n t F i e l d = " M a t t e r N a m e "   h i d d e n = " f a l s e " > E l e v a t i o n   U C I T S   F u n d s   I r e l a n d   I C A V < / f i e l d >  
         < f i e l d   i d = " 7 5 3 2 7 c a 1 - c 6 c b - 4 7 8 0 - 8 a 2 2 - 2 1 8 1 7 3 d 5 2 c 3 7 "   n a m e = " T y p i s t "   t y p e = " "   o r d e r = " 9 9 9 "   e n t i t y I d = " 7 4 c b 2 5 2 9 - e 7 2 0 - 4 0 7 b - 8 e 9 5 - 8 2 0 3 9 d 0 a f 8 9 c "   l i n k e d E n t i t y I d = " 0 0 0 0 0 0 0 0 - 0 0 0 0 - 0 0 0 0 - 0 0 0 0 - 0 0 0 0 0 0 0 0 0 0 0 0 "   l i n k e d F i e l d I d = " 0 0 0 0 0 0 0 0 - 0 0 0 0 - 0 0 0 0 - 0 0 0 0 - 0 0 0 0 0 0 0 0 0 0 0 0 "   l i n k e d F i e l d I n d e x = " 0 "   i n d e x = " 0 "   f i e l d T y p e = " q u e s t i o n "   f o r m a t E v a l u a t o r T y p e = " f o r m a t S t r i n g "   h i d d e n = " f a l s e " > M N A G L E < / f i e l d >  
         < f i e l d   i d = " 9 a 9 2 6 9 a e - 1 d 5 b - 4 3 6 5 - 9 d a 1 - 6 3 7 c 5 f 3 3 0 a 8 f "   n a m e = " A u t h o r "   t y p e = " "   o r d e r = " 9 9 9 "   e n t i t y I d = " 7 4 c b 2 5 2 9 - e 7 2 0 - 4 0 7 b - 8 e 9 5 - 8 2 0 3 9 d 0 a f 8 9 c "   l i n k e d E n t i t y I d = " 0 0 0 0 0 0 0 0 - 0 0 0 0 - 0 0 0 0 - 0 0 0 0 - 0 0 0 0 0 0 0 0 0 0 0 0 "   l i n k e d F i e l d I d = " 0 0 0 0 0 0 0 0 - 0 0 0 0 - 0 0 0 0 - 0 0 0 0 - 0 0 0 0 0 0 0 0 0 0 0 0 "   l i n k e d F i e l d I n d e x = " 0 "   i n d e x = " 0 "   f i e l d T y p e = " q u e s t i o n "   f o r m a t E v a l u a t o r T y p e = " f o r m a t S t r i n g "   h i d d e n = " f a l s e " > L B U T L E R < / f i e l d >  
         < f i e l d   i d = " a 0 0 2 e 7 8 a - 8 e 1 8 - 4 3 7 5 - b e f 7 - 9 f 6 8 7 e 9 3 1 f 6 5 "   n a m e = " T i t l e "   t y p e = " "   o r d e r = " 9 9 9 "   e n t i t y I d = " 7 4 c b 2 5 2 9 - e 7 2 0 - 4 0 7 b - 8 e 9 5 - 8 2 0 3 9 d 0 a f 8 9 c "   l i n k e d E n t i t y I d = " 0 0 0 0 0 0 0 0 - 0 0 0 0 - 0 0 0 0 - 0 0 0 0 - 0 0 0 0 0 0 0 0 0 0 0 0 "   l i n k e d F i e l d I d = " 0 0 0 0 0 0 0 0 - 0 0 0 0 - 0 0 0 0 - 0 0 0 0 - 0 0 0 0 0 0 0 0 0 0 0 0 "   l i n k e d F i e l d I n d e x = " 0 "   i n d e x = " 0 "   f i e l d T y p e = " q u e s t i o n "   f o r m a t E v a l u a t o r T y p e = " f o r m a t S t r i n g "   h i d d e n = " f a l s e " > S u p p l e m e n t   -   K i n g s w o o d   E S G   B o n d   F u n d -   D R A F T   1 1   N o v   2 0 2 0 < / f i e l d >  
         < f i e l d   i d = " 6 4 f f 0 0 3 6 - a 6 a f - 4 b 1 1 - a 4 e a - 4 0 2 a 2 f 2 7 3 e 2 1 "   n a m e = " D o c T y p e "   t y p e = " "   o r d e r = " 9 9 9 "   e n t i t y I d = " 7 4 c b 2 5 2 9 - e 7 2 0 - 4 0 7 b - 8 e 9 5 - 8 2 0 3 9 d 0 a f 8 9 c "   l i n k e d E n t i t y I d = " 0 0 0 0 0 0 0 0 - 0 0 0 0 - 0 0 0 0 - 0 0 0 0 - 0 0 0 0 0 0 0 0 0 0 0 0 "   l i n k e d F i e l d I d = " 0 0 0 0 0 0 0 0 - 0 0 0 0 - 0 0 0 0 - 0 0 0 0 - 0 0 0 0 0 0 0 0 0 0 0 0 "   l i n k e d F i e l d I n d e x = " 0 "   i n d e x = " 0 "   f i e l d T y p e = " q u e s t i o n "   f o r m a t E v a l u a t o r T y p e = " f o r m a t S t r i n g "   h i d d e n = " f a l s e " > F U N D S < / f i e l d >  
         < f i e l d   i d = " 7 a b e a 0 f 8 - 4 6 b 7 - 4 9 6 8 - b b 1 2 - 0 4 a 8 9 9 f 0 d 7 7 8 "   n a m e = " D o c S u b T y p e "   t y p e = " "   o r d e r = " 9 9 9 "   e n t i t y I d = " 7 4 c b 2 5 2 9 - e 7 2 0 - 4 0 7 b - 8 e 9 5 - 8 2 0 3 9 d 0 a f 8 9 c "   l i n k e d E n t i t y I d = " 0 0 0 0 0 0 0 0 - 0 0 0 0 - 0 0 0 0 - 0 0 0 0 - 0 0 0 0 0 0 0 0 0 0 0 0 "   l i n k e d F i e l d I d = " 0 0 0 0 0 0 0 0 - 0 0 0 0 - 0 0 0 0 - 0 0 0 0 - 0 0 0 0 0 0 0 0 0 0 0 0 "   l i n k e d F i e l d I n d e x = " 0 "   i n d e x = " 0 "   f i e l d T y p e = " q u e s t i o n "   f o r m a t E v a l u a t o r T y p e = " f o r m a t S t r i n g "   h i d d e n = " f a l s e " > S U P < / f i e l d >  
         < f i e l d   i d = " 0 1 a 5 9 1 9 e - 9 f 8 0 - 4 7 f 4 - 9 3 c 4 - a 9 7 8 7 8 0 8 8 c 9 c "   n a m e = " S e r v e r "   t y p e = " "   o r d e r = " 9 9 9 "   e n t i t y I d = " 7 4 c b 2 5 2 9 - e 7 2 0 - 4 0 7 b - 8 e 9 5 - 8 2 0 3 9 d 0 a f 8 9 c "   l i n k e d E n t i t y I d = " 0 0 0 0 0 0 0 0 - 0 0 0 0 - 0 0 0 0 - 0 0 0 0 - 0 0 0 0 0 0 0 0 0 0 0 0 "   l i n k e d F i e l d I d = " 0 0 0 0 0 0 0 0 - 0 0 0 0 - 0 0 0 0 - 0 0 0 0 - 0 0 0 0 0 0 0 0 0 0 0 0 "   l i n k e d F i e l d I n d e x = " 0 "   i n d e x = " 0 "   f i e l d T y p e = " q u e s t i o n "   f o r m a t E v a l u a t o r T y p e = " f o r m a t S t r i n g "   h i d d e n = " f a l s e " > A L G D M S < / f i e l d >  
         < f i e l d   i d = " 2 f e f 3 f 1 9 - 2 3 2 d - 4 1 4 2 - b 5 2 5 - 1 1 d 8 a 7 6 a 6 e 9 b "   n a m e = " L i b r a r y "   t y p e = " "   o r d e r = " 9 9 9 "   e n t i t y I d = " 7 4 c b 2 5 2 9 - e 7 2 0 - 4 0 7 b - 8 e 9 5 - 8 2 0 3 9 d 0 a f 8 9 c "   l i n k e d E n t i t y I d = " 0 0 0 0 0 0 0 0 - 0 0 0 0 - 0 0 0 0 - 0 0 0 0 - 0 0 0 0 0 0 0 0 0 0 0 0 "   l i n k e d F i e l d I d = " 0 0 0 0 0 0 0 0 - 0 0 0 0 - 0 0 0 0 - 0 0 0 0 - 0 0 0 0 0 0 0 0 0 0 0 0 "   l i n k e d F i e l d I n d e x = " 0 "   i n d e x = " 0 "   f i e l d T y p e = " q u e s t i o n "   f o r m a t E v a l u a t o r T y p e = " f o r m a t S t r i n g "   h i d d e n = " f a l s e " > M A I N < / f i e l d >  
         < f i e l d   i d = " 3 8 8 a 1 e 1 3 - 9 9 7 8 - 4 5 4 7 - 8 c 3 9 - 2 9 b 8 9 a 1 1 d 7 2 a "   n a m e = " W o r k s p a c e I d "   t y p e = " "   o r d e r = " 9 9 9 "   e n t i t y I d = " 7 4 c b 2 5 2 9 - e 7 2 0 - 4 0 7 b - 8 e 9 5 - 8 2 0 3 9 d 0 a f 8 9 c "   l i n k e d E n t i t y I d = " 0 0 0 0 0 0 0 0 - 0 0 0 0 - 0 0 0 0 - 0 0 0 0 - 0 0 0 0 0 0 0 0 0 0 0 0 "   l i n k e d F i e l d I d = " 0 0 0 0 0 0 0 0 - 0 0 0 0 - 0 0 0 0 - 0 0 0 0 - 0 0 0 0 0 0 0 0 0 0 0 0 "   l i n k e d F i e l d I n d e x = " 0 "   i n d e x = " 0 "   f i e l d T y p e = " q u e s t i o n "   f o r m a t E v a l u a t o r T y p e = " f o r m a t S t r i n g "   h i d d e n = " f a l s e " > 2 6 2 5 0 7 5 < / f i e l d >  
         < f i e l d   i d = " d 8 d 8 a 1 b 7 - 2 9 f 2 - 4 1 8 4 - b 4 b b - 9 4 e 8 6 8 1 1 b 1 d c "   n a m e = " D o c F o l d e r I d "   t y p e = " "   o r d e r = " 9 9 9 "   e n t i t y I d = " 7 4 c b 2 5 2 9 - e 7 2 0 - 4 0 7 b - 8 e 9 5 - 8 2 0 3 9 d 0 a f 8 9 c "   l i n k e d E n t i t y I d = " 0 0 0 0 0 0 0 0 - 0 0 0 0 - 0 0 0 0 - 0 0 0 0 - 0 0 0 0 0 0 0 0 0 0 0 0 "   l i n k e d F i e l d I d = " 0 0 0 0 0 0 0 0 - 0 0 0 0 - 0 0 0 0 - 0 0 0 0 - 0 0 0 0 0 0 0 0 0 0 0 0 "   l i n k e d F i e l d I n d e x = " 0 "   i n d e x = " 0 "   f i e l d T y p e = " q u e s t i o n "   f o r m a t E v a l u a t o r T y p e = " f o r m a t S t r i n g "   h i d d e n = " f a l s e " > 2 6 2 5 0 7 6 < / f i e l d >  
         < f i e l d   i d = " a 1 f 2 3 1 e a - a 0 0 f - 4 6 0 6 - 9 f a b - d 2 a c d 8 5 9 d 3 a d "   n a m e = " D o c N u m b e r "   t y p e = " "   o r d e r = " 9 9 9 "   e n t i t y I d = " 7 4 c b 2 5 2 9 - e 7 2 0 - 4 0 7 b - 8 e 9 5 - 8 2 0 3 9 d 0 a f 8 9 c "   l i n k e d E n t i t y I d = " 0 0 0 0 0 0 0 0 - 0 0 0 0 - 0 0 0 0 - 0 0 0 0 - 0 0 0 0 0 0 0 0 0 0 0 0 "   l i n k e d F i e l d I d = " 0 0 0 0 0 0 0 0 - 0 0 0 0 - 0 0 0 0 - 0 0 0 0 - 0 0 0 0 0 0 0 0 0 0 0 0 "   l i n k e d F i e l d I n d e x = " 0 "   i n d e x = " 0 "   f i e l d T y p e = " q u e s t i o n "   f o r m a t E v a l u a t o r T y p e = " f o r m a t S t r i n g "   h i d d e n = " f a l s e " > 3 9 8 7 7 4 5 7 < / f i e l d >  
         < f i e l d   i d = " c 9 0 9 4 b 9 c - 5 2 f d - 4 4 0 3 - b b 8 3 - 9 b b 3 a b 5 3 6 8 a d "   n a m e = " D o c V e r s i o n "   t y p e = " "   o r d e r = " 9 9 9 "   e n t i t y I d = " 7 4 c b 2 5 2 9 - e 7 2 0 - 4 0 7 b - 8 e 9 5 - 8 2 0 3 9 d 0 a f 8 9 c "   l i n k e d E n t i t y I d = " 0 0 0 0 0 0 0 0 - 0 0 0 0 - 0 0 0 0 - 0 0 0 0 - 0 0 0 0 0 0 0 0 0 0 0 0 "   l i n k e d F i e l d I d = " 0 0 0 0 0 0 0 0 - 0 0 0 0 - 0 0 0 0 - 0 0 0 0 - 0 0 0 0 0 0 0 0 0 0 0 0 "   l i n k e d F i e l d I n d e x = " 0 "   i n d e x = " 0 "   f i e l d T y p e = " q u e s t i o n "   f o r m a t E v a l u a t o r T y p e = " f o r m a t S t r i n g "   h i d d e n = " f a l s e " > 5 2 < / f i e l d >  
         < f i e l d   i d = " 7 2 9 0 4 a 4 7 - 5 7 8 0 - 4 5 9 c - b e 7 a - 4 4 8 f 9 a d 8 d 6 b 4 "   n a m e = " D o c I d F o r m a t "   t y p e = " "   o r d e r = " 9 9 9 "   e n t i t y I d = " 7 4 c b 2 5 2 9 - e 7 2 0 - 4 0 7 b - 8 e 9 5 - 8 2 0 3 9 d 0 a f 8 9 c "   l i n k e d E n t i t y I d = " 7 4 c b 2 5 2 9 - e 7 2 0 - 4 0 7 b - 8 e 9 5 - 8 2 0 3 9 d 0 a f 8 9 c "   l i n k e d F i e l d I d = " 0 0 0 0 0 0 0 0 - 0 0 0 0 - 0 0 0 0 - 0 0 0 0 - 0 0 0 0 0 0 0 0 0 0 0 0 "   l i n k e d F i e l d I n d e x = " 0 "   i n d e x = " 0 "   f i e l d T y p e = " q u e s t i o n "   f o r m a t = " U P P E R ( L E F T ( { D M S . L i b r a r y } , 1 ) )   & a m p ;   { L a b e l s . D o c I D   s e p a r a t o r }   & a m p ;   { D M S . D o c N u m b e r }   & a m p ;   { L a b e l s . D o c I D   s e p a r a t o r }   & a m p ;   { D M S . D o c V e r s i o n } "   f o r m a t E v a l u a t o r T y p e = " e x p r e s s i o n "   h i d d e n = " f a l s e " / >  
         < f i e l d   i d = " 9 0 1 6 3 5 3 d - 0 a b 3 - 4 5 1 f - 9 8 2 8 - 3 f e e 9 6 c f 6 8 b a "   n a m e = " C o n n e c t e d "   t y p e = " S y s t e m . B o o l e a n ,   m s c o r l i b ,   V e r s i o n = 4 . 0 . 0 . 0 ,   C u l t u r e = n e u t r a l ,   P u b l i c K e y T o k e n = b 7 7 a 5 c 5 6 1 9 3 4 e 0 8 9 "   o r d e r = " 9 9 9 "   e n t i t y I d = " 7 4 c b 2 5 2 9 - e 7 2 0 - 4 0 7 b - 8 e 9 5 - 8 2 0 3 9 d 0 a f 8 9 c " 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7 4 c b 2 5 2 9 - e 7 2 0 - 4 0 7 b - 8 e 9 5 - 8 2 0 3 9 d 0 a f 8 9 c " 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7 4 c b 2 5 2 9 - e 7 2 0 - 4 0 7 b - 8 e 9 5 - 8 2 0 3 9 d 0 a f 8 9 c "   l i n k e d E n t i t y I d = " 0 0 0 0 0 0 0 0 - 0 0 0 0 - 0 0 0 0 - 0 0 0 0 - 0 0 0 0 0 0 0 0 0 0 0 0 "   l i n k e d F i e l d I d = " 0 0 0 0 0 0 0 0 - 0 0 0 0 - 0 0 0 0 - 0 0 0 0 - 0 0 0 0 0 0 0 0 0 0 0 0 "   l i n k e d F i e l d I n d e x = " 0 "   i n d e x = " 0 "   f i e l d T y p e = " q u e s t i o n "   f o r m a t E v a l u a t o r T y p e = " f o r m a t S t r i n g "   h i d d e n = " f a l s e " / >  
         < f i e l d   i d = " a 0 6 3 5 d f 7 - 3 c 7 1 - 4 e b c - 9 b 8 6 - 0 d d d f e a 3 d 5 3 6 "   n a m e = " R e f r e s h O n S a v e A s "   t y p e = " "   o r d e r = " 9 9 9 "   e n t i t y I d = " 7 4 c b 2 5 2 9 - e 7 2 0 - 4 0 7 b - 8 e 9 5 - 8 2 0 3 9 d 0 a f 8 9 c "   l i n k e d E n t i t y I d = " 0 0 0 0 0 0 0 0 - 0 0 0 0 - 0 0 0 0 - 0 0 0 0 - 0 0 0 0 0 0 0 0 0 0 0 0 "   l i n k e d F i e l d I d = " 0 0 0 0 0 0 0 0 - 0 0 0 0 - 0 0 0 0 - 0 0 0 0 - 0 0 0 0 0 0 0 0 0 0 0 0 "   l i n k e d F i e l d I n d e x = " 0 "   i n d e x = " 0 "   f i e l d T y p e = " q u e s t i o n "   f o r m a t E v a l u a t o r T y p e = " f o r m a t S t r i n g "   h i d d e n = " f a l s e " / >  
         < f i e l d   i d = " 8 e 8 b 5 8 3 6 - 3 9 1 1 - 4 b a 7 - a 8 c b - 6 5 a 2 4 1 a 1 c 8 7 e "   n a m e = " P r o f i l e F i e l d 1 "   t y p e = " "   o r d e r = " 9 9 9 "   e n t i t y I d = " 7 4 c b 2 5 2 9 - e 7 2 0 - 4 0 7 b - 8 e 9 5 - 8 2 0 3 9 d 0 a f 8 9 c "   l i n k e d E n t i t y I d = " 0 0 0 0 0 0 0 0 - 0 0 0 0 - 0 0 0 0 - 0 0 0 0 - 0 0 0 0 0 0 0 0 0 0 0 0 "   l i n k e d F i e l d I d = " 0 0 0 0 0 0 0 0 - 0 0 0 0 - 0 0 0 0 - 0 0 0 0 - 0 0 0 0 0 0 0 0 0 0 0 0 "   l i n k e d F i e l d I n d e x = " 0 "   i n d e x = " 0 "   f i e l d T y p e = " q u e s t i o n "   f o r m a t E v a l u a t o r T y p e = " f o r m a t S t r i n g "   h i d d e n = " f a l s e " / >  
         < f i e l d   i d = " 5 6 3 d b a 8 1 - 2 9 2 6 - 4 7 c 2 - a 4 3 0 - b 4 f 6 2 a 1 e 2 8 1 7 "   n a m e = " P r o f i l e F i e l d 1 D e s c r i p t i o n "   t y p e = " "   o r d e r = " 9 9 9 "   e n t i t y I d = " 7 4 c b 2 5 2 9 - e 7 2 0 - 4 0 7 b - 8 e 9 5 - 8 2 0 3 9 d 0 a f 8 9 c "   l i n k e d E n t i t y I d = " 0 0 0 0 0 0 0 0 - 0 0 0 0 - 0 0 0 0 - 0 0 0 0 - 0 0 0 0 0 0 0 0 0 0 0 0 "   l i n k e d F i e l d I d = " 0 0 0 0 0 0 0 0 - 0 0 0 0 - 0 0 0 0 - 0 0 0 0 - 0 0 0 0 0 0 0 0 0 0 0 0 "   l i n k e d F i e l d I n d e x = " 0 "   i n d e x = " 0 "   f i e l d T y p e = " q u e s t i o n "   f o r m a t E v a l u a t o r T y p e = " f o r m a t S t r i n g "   h i d d e n = " f a l s e " / >  
         < f i e l d   i d = " c c b 4 a b 0 1 - c c f 4 - 4 5 1 3 - 8 b b c - 6 e f 2 1 4 5 b 1 6 a 6 "   n a m e = " P r o f i l e F i e l d 2 "   t y p e = " "   o r d e r = " 9 9 9 "   e n t i t y I d = " 7 4 c b 2 5 2 9 - e 7 2 0 - 4 0 7 b - 8 e 9 5 - 8 2 0 3 9 d 0 a f 8 9 c "   l i n k e d E n t i t y I d = " 0 0 0 0 0 0 0 0 - 0 0 0 0 - 0 0 0 0 - 0 0 0 0 - 0 0 0 0 0 0 0 0 0 0 0 0 "   l i n k e d F i e l d I d = " 0 0 0 0 0 0 0 0 - 0 0 0 0 - 0 0 0 0 - 0 0 0 0 - 0 0 0 0 0 0 0 0 0 0 0 0 "   l i n k e d F i e l d I n d e x = " 0 "   i n d e x = " 0 "   f i e l d T y p e = " q u e s t i o n "   f o r m a t E v a l u a t o r T y p e = " f o r m a t S t r i n g "   h i d d e n = " f a l s e " / >  
         < f i e l d   i d = " c 0 4 7 b 3 6 9 - 4 d f e - 4 4 6 0 - 8 9 6 1 - 5 e d b 5 3 4 4 7 c f f "   n a m e = " P r o f i l e F i e l d 2 D e s c r i p t i o n "   t y p e = " "   o r d e r = " 9 9 9 "   e n t i t y I d = " 7 4 c b 2 5 2 9 - e 7 2 0 - 4 0 7 b - 8 e 9 5 - 8 2 0 3 9 d 0 a f 8 9 c " 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DCA90-0143-4C1C-8840-5FEC63055846}">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386EE558-AB48-43E5-B955-F47D455A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LegalDocument.dotx</Template>
  <TotalTime>0</TotalTime>
  <Pages>14</Pages>
  <Words>6026</Words>
  <Characters>32281</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A&amp;L Goodbody</Company>
  <LinksUpToDate>false</LinksUpToDate>
  <CharactersWithSpaces>38231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Michelle Nagle</cp:lastModifiedBy>
  <cp:revision>2</cp:revision>
  <cp:lastPrinted>2018-09-12T09:16:00Z</cp:lastPrinted>
  <dcterms:created xsi:type="dcterms:W3CDTF">2021-01-29T10:03:00Z</dcterms:created>
  <dcterms:modified xsi:type="dcterms:W3CDTF">2021-01-29T10:03:00Z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_DocHome">
    <vt:i4>29380680</vt:i4>
  </property>
  <property fmtid="{D5CDD505-2E9C-101B-9397-08002B2CF9AE}" pid="4" name="DocRef">
    <vt:lpwstr>M-39877457-37</vt:lpwstr>
  </property>
  <property fmtid="{D5CDD505-2E9C-101B-9397-08002B2CF9AE}" pid="5" name="Status">
    <vt:lpwstr>New</vt:lpwstr>
  </property>
  <property fmtid="{D5CDD505-2E9C-101B-9397-08002B2CF9AE}" pid="6" name="iManFooter">
    <vt:lpwstr>M-8739955-57</vt:lpwstr>
  </property>
</Properties>
</file>