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6BA53B51" w14:textId="36867A43" w:rsidR="002D116F" w:rsidRDefault="002D116F" w:rsidP="00AD5070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>JOB TITLE: INVESTMENT MAN</w:t>
      </w:r>
      <w:r w:rsidR="00E83FDF">
        <w:rPr>
          <w:rFonts w:ascii="Oswald Light" w:hAnsi="Oswald Light"/>
          <w:bCs/>
          <w:color w:val="801739"/>
          <w:sz w:val="30"/>
          <w:szCs w:val="30"/>
        </w:rPr>
        <w:t>A</w:t>
      </w:r>
      <w:r>
        <w:rPr>
          <w:rFonts w:ascii="Oswald Light" w:hAnsi="Oswald Light"/>
          <w:bCs/>
          <w:color w:val="801739"/>
          <w:sz w:val="30"/>
          <w:szCs w:val="30"/>
        </w:rPr>
        <w:t>GER</w:t>
      </w:r>
      <w:r w:rsidR="00710EAC" w:rsidRPr="00C211F0">
        <w:rPr>
          <w:rFonts w:ascii="Oswald Light" w:hAnsi="Oswald Light"/>
          <w:bCs/>
          <w:color w:val="801739"/>
          <w:sz w:val="30"/>
          <w:szCs w:val="30"/>
        </w:rPr>
        <w:tab/>
      </w:r>
      <w:r w:rsidR="00710EAC" w:rsidRPr="00C211F0">
        <w:rPr>
          <w:rFonts w:ascii="Oswald Light" w:hAnsi="Oswald Light"/>
          <w:bCs/>
          <w:color w:val="801739"/>
          <w:sz w:val="30"/>
          <w:szCs w:val="30"/>
        </w:rPr>
        <w:tab/>
      </w:r>
      <w:r w:rsidR="00710EAC" w:rsidRPr="00C211F0">
        <w:rPr>
          <w:rFonts w:ascii="Oswald Light" w:hAnsi="Oswald Light"/>
          <w:bCs/>
          <w:color w:val="801739"/>
          <w:sz w:val="30"/>
          <w:szCs w:val="30"/>
        </w:rPr>
        <w:tab/>
      </w:r>
      <w:r w:rsidR="00710EAC" w:rsidRPr="00C211F0">
        <w:rPr>
          <w:rFonts w:ascii="Oswald Light" w:hAnsi="Oswald Light"/>
          <w:bCs/>
          <w:color w:val="801739"/>
          <w:sz w:val="30"/>
          <w:szCs w:val="30"/>
        </w:rPr>
        <w:tab/>
      </w:r>
    </w:p>
    <w:p w14:paraId="650E251D" w14:textId="0A3DD422" w:rsidR="00AD5070" w:rsidRPr="00AD5070" w:rsidRDefault="00710EAC" w:rsidP="00AD5070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 w:rsidRPr="00C211F0">
        <w:rPr>
          <w:rFonts w:ascii="Oswald Light" w:hAnsi="Oswald Light"/>
          <w:bCs/>
          <w:color w:val="801739"/>
          <w:sz w:val="30"/>
          <w:szCs w:val="30"/>
        </w:rPr>
        <w:t xml:space="preserve">REPORTS TO: </w:t>
      </w:r>
      <w:r w:rsidR="002D116F">
        <w:rPr>
          <w:rFonts w:ascii="Oswald Light" w:hAnsi="Oswald Light"/>
          <w:bCs/>
          <w:color w:val="801739"/>
          <w:sz w:val="30"/>
          <w:szCs w:val="30"/>
        </w:rPr>
        <w:t>HEAD OF INVESTMENT MANAGEMENT</w:t>
      </w:r>
    </w:p>
    <w:p w14:paraId="6AB2A95E" w14:textId="77777777" w:rsidR="00AD5070" w:rsidRPr="00D42F3F" w:rsidRDefault="00AD5070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6D63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4DB98BB9" w14:textId="2DA8176D"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 w:rsidR="000076A0">
        <w:rPr>
          <w:rFonts w:ascii="Lato Light" w:hAnsi="Lato Light"/>
          <w:sz w:val="20"/>
        </w:rPr>
        <w:t>16</w:t>
      </w:r>
      <w:r w:rsidRPr="007D52D5">
        <w:rPr>
          <w:rFonts w:ascii="Lato Light" w:hAnsi="Lato Light"/>
          <w:sz w:val="20"/>
        </w:rPr>
        <w:t>,000 active clients and c. £</w:t>
      </w:r>
      <w:r w:rsidR="000076A0">
        <w:rPr>
          <w:rFonts w:ascii="Lato Light" w:hAnsi="Lato Light"/>
          <w:sz w:val="20"/>
        </w:rPr>
        <w:t>6</w:t>
      </w:r>
      <w:r w:rsidR="003D15AA">
        <w:rPr>
          <w:rFonts w:ascii="Lato Light" w:hAnsi="Lato Light"/>
          <w:sz w:val="20"/>
        </w:rPr>
        <w:t xml:space="preserve"> </w:t>
      </w:r>
      <w:r w:rsidR="003D15AA" w:rsidRPr="007D52D5">
        <w:rPr>
          <w:rFonts w:ascii="Lato Light" w:hAnsi="Lato Light"/>
          <w:sz w:val="20"/>
        </w:rPr>
        <w:t>billion</w:t>
      </w:r>
      <w:r w:rsidRPr="007D52D5">
        <w:rPr>
          <w:rFonts w:ascii="Lato Light" w:hAnsi="Lato Light"/>
          <w:sz w:val="20"/>
        </w:rPr>
        <w:t xml:space="preserve">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4F3EEF43" w14:textId="77777777"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14:paraId="7FFE04EA" w14:textId="31B30966" w:rsidR="00C36A68" w:rsidRPr="00710EAC" w:rsidRDefault="007D52D5" w:rsidP="00710EAC">
      <w:pPr>
        <w:pStyle w:val="Heading2"/>
      </w:pPr>
      <w:r w:rsidRPr="00710EAC">
        <w:t>SUMMARY OF ROLE</w:t>
      </w:r>
    </w:p>
    <w:p w14:paraId="4F0F83CA" w14:textId="142CDF3A" w:rsidR="00910428" w:rsidRPr="002D116F" w:rsidRDefault="00910428" w:rsidP="00910428">
      <w:pPr>
        <w:rPr>
          <w:rFonts w:ascii="Lato Light" w:hAnsi="Lato Light"/>
          <w:color w:val="595959" w:themeColor="text1" w:themeTint="A6"/>
          <w:sz w:val="20"/>
          <w:lang w:eastAsia="en-GB"/>
        </w:rPr>
      </w:pPr>
    </w:p>
    <w:p w14:paraId="69BE646C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2D116F">
        <w:rPr>
          <w:rFonts w:ascii="Lato Light" w:hAnsi="Lato Light"/>
          <w:color w:val="595959" w:themeColor="text1" w:themeTint="A6"/>
          <w:sz w:val="20"/>
          <w:szCs w:val="20"/>
        </w:rPr>
        <w:t>This is a key client-facing role, having responsibility for client investment portfolios, client relationships and for supporting the client in engagement with our financial planners.</w:t>
      </w:r>
    </w:p>
    <w:p w14:paraId="481F7CB1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7AFF7CFF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2D116F">
        <w:rPr>
          <w:rFonts w:ascii="Lato Light" w:hAnsi="Lato Light"/>
          <w:color w:val="595959" w:themeColor="text1" w:themeTint="A6"/>
          <w:sz w:val="20"/>
          <w:szCs w:val="20"/>
        </w:rPr>
        <w:t>The role manages up to 100 clients having portfolios of £250,000 or more, following our central investment model.</w:t>
      </w:r>
    </w:p>
    <w:p w14:paraId="366B35A7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49F61A9D" w14:textId="0C2F0A3F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2D116F">
        <w:rPr>
          <w:rFonts w:ascii="Lato Light" w:hAnsi="Lato Light"/>
          <w:color w:val="595959" w:themeColor="text1" w:themeTint="A6"/>
          <w:sz w:val="20"/>
          <w:szCs w:val="20"/>
        </w:rPr>
        <w:t xml:space="preserve">The role acquires new clients, </w:t>
      </w:r>
      <w:r w:rsidR="00676072">
        <w:rPr>
          <w:rFonts w:ascii="Lato Light" w:hAnsi="Lato Light"/>
          <w:color w:val="595959" w:themeColor="text1" w:themeTint="A6"/>
          <w:sz w:val="20"/>
          <w:szCs w:val="20"/>
        </w:rPr>
        <w:t xml:space="preserve">primarily through working with our own Wealth Planners and Business Development managers with the role holder expected to be competent in </w:t>
      </w:r>
      <w:r w:rsidRPr="002D116F">
        <w:rPr>
          <w:rFonts w:ascii="Lato Light" w:hAnsi="Lato Light"/>
          <w:color w:val="595959" w:themeColor="text1" w:themeTint="A6"/>
          <w:sz w:val="20"/>
          <w:szCs w:val="20"/>
        </w:rPr>
        <w:t>presenting our service to potential clients and to introducers such as lawyers and other professional advisers.</w:t>
      </w:r>
    </w:p>
    <w:p w14:paraId="0167D5CD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0781C802" w14:textId="05E307A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2D116F">
        <w:rPr>
          <w:rFonts w:ascii="Lato Light" w:hAnsi="Lato Light"/>
          <w:color w:val="595959" w:themeColor="text1" w:themeTint="A6"/>
          <w:sz w:val="20"/>
          <w:szCs w:val="20"/>
        </w:rPr>
        <w:t>The role also supports our investment strategy and business plans, through input to our</w:t>
      </w:r>
      <w:r w:rsidR="00676072">
        <w:rPr>
          <w:rFonts w:ascii="Lato Light" w:hAnsi="Lato Light"/>
          <w:color w:val="595959" w:themeColor="text1" w:themeTint="A6"/>
          <w:sz w:val="20"/>
          <w:szCs w:val="20"/>
        </w:rPr>
        <w:t xml:space="preserve"> Model Portfolio Committee.</w:t>
      </w:r>
    </w:p>
    <w:p w14:paraId="18E2A07D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14:paraId="49339D62" w14:textId="06910196" w:rsidR="00413574" w:rsidRPr="002D116F" w:rsidRDefault="00676072" w:rsidP="00413574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>T</w:t>
      </w:r>
      <w:r w:rsidR="00413574" w:rsidRPr="002D116F">
        <w:rPr>
          <w:rFonts w:ascii="Lato Light" w:hAnsi="Lato Light"/>
          <w:color w:val="595959" w:themeColor="text1" w:themeTint="A6"/>
          <w:sz w:val="20"/>
          <w:szCs w:val="20"/>
        </w:rPr>
        <w:t>he role holder is responsible for their compliance with regulatory and professional standards and for their ongoing technical competence and professional development.</w:t>
      </w:r>
    </w:p>
    <w:p w14:paraId="1DDCAA32" w14:textId="77777777" w:rsidR="00B44BF2" w:rsidRDefault="00B44BF2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</w:p>
    <w:p w14:paraId="357A05C6" w14:textId="77777777" w:rsidR="00B44BF2" w:rsidRDefault="00B44BF2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</w:p>
    <w:p w14:paraId="7325974B" w14:textId="08DECE12" w:rsidR="00910428" w:rsidRPr="00C211F0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5C210BA8" w14:textId="77777777" w:rsidR="00413574" w:rsidRPr="002D116F" w:rsidRDefault="00AC521F" w:rsidP="00413574">
      <w:pPr>
        <w:pStyle w:val="Body"/>
        <w:jc w:val="both"/>
        <w:rPr>
          <w:rFonts w:ascii="Lato Light" w:hAnsi="Lato Light"/>
          <w:color w:val="0070C0"/>
          <w:sz w:val="24"/>
          <w:szCs w:val="24"/>
        </w:rPr>
      </w:pPr>
      <w:r w:rsidRPr="007D52D5">
        <w:rPr>
          <w:rFonts w:ascii="Lato Light" w:hAnsi="Lato Light"/>
          <w:b/>
          <w:sz w:val="20"/>
        </w:rPr>
        <w:br/>
      </w:r>
    </w:p>
    <w:p w14:paraId="7AC90E7C" w14:textId="77777777" w:rsidR="00413574" w:rsidRPr="002D116F" w:rsidRDefault="00413574" w:rsidP="00413574">
      <w:pPr>
        <w:pStyle w:val="Body"/>
        <w:numPr>
          <w:ilvl w:val="0"/>
          <w:numId w:val="11"/>
        </w:numPr>
        <w:ind w:left="426" w:hanging="426"/>
        <w:jc w:val="both"/>
        <w:rPr>
          <w:rFonts w:ascii="Lato Light" w:hAnsi="Lato Light"/>
          <w:b/>
          <w:color w:val="595959" w:themeColor="text1" w:themeTint="A6"/>
        </w:rPr>
      </w:pPr>
      <w:r w:rsidRPr="002D116F">
        <w:rPr>
          <w:rFonts w:ascii="Lato Light" w:hAnsi="Lato Light"/>
          <w:b/>
          <w:color w:val="595959" w:themeColor="text1" w:themeTint="A6"/>
        </w:rPr>
        <w:t xml:space="preserve">To maintain the highest standards of client care, professional conduct and regulatory compliance.  </w:t>
      </w:r>
    </w:p>
    <w:p w14:paraId="0E3D9ED1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6D025D76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Ensure that clients for which the role holder is responsible are served and managed to the highest professional standards and in accordance with all relevant regulatory considerations.</w:t>
      </w:r>
    </w:p>
    <w:p w14:paraId="0EC87826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3BB5FC15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In particular:</w:t>
      </w:r>
    </w:p>
    <w:p w14:paraId="4F9486E6" w14:textId="77777777" w:rsidR="00413574" w:rsidRPr="002D116F" w:rsidRDefault="00413574" w:rsidP="00413574">
      <w:pPr>
        <w:pStyle w:val="Body"/>
        <w:numPr>
          <w:ilvl w:val="0"/>
          <w:numId w:val="10"/>
        </w:numPr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Ensure that clients receive an appropriate standard of service and communication.</w:t>
      </w:r>
    </w:p>
    <w:p w14:paraId="1007F428" w14:textId="221ED636" w:rsidR="00413574" w:rsidRPr="002D116F" w:rsidRDefault="00413574" w:rsidP="00413574">
      <w:pPr>
        <w:pStyle w:val="Body"/>
        <w:numPr>
          <w:ilvl w:val="0"/>
          <w:numId w:val="10"/>
        </w:numPr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Ensure that clients understand their investments, that the investments are suitable and that performance reviews, risk profile reviews and other client servicing activity happe</w:t>
      </w:r>
      <w:r w:rsidR="00676072">
        <w:rPr>
          <w:rFonts w:ascii="Lato Light" w:hAnsi="Lato Light"/>
          <w:color w:val="595959" w:themeColor="text1" w:themeTint="A6"/>
        </w:rPr>
        <w:t>ns at the right intervals and are</w:t>
      </w:r>
      <w:r w:rsidRPr="002D116F">
        <w:rPr>
          <w:rFonts w:ascii="Lato Light" w:hAnsi="Lato Light"/>
          <w:color w:val="595959" w:themeColor="text1" w:themeTint="A6"/>
        </w:rPr>
        <w:t xml:space="preserve"> conducted to the highest standards.</w:t>
      </w:r>
    </w:p>
    <w:p w14:paraId="1C2E6AC4" w14:textId="77777777" w:rsidR="00413574" w:rsidRPr="002D116F" w:rsidRDefault="00413574" w:rsidP="00413574">
      <w:pPr>
        <w:pStyle w:val="Body"/>
        <w:numPr>
          <w:ilvl w:val="0"/>
          <w:numId w:val="10"/>
        </w:numPr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Deal with any ad hoc client requirements and ensure that clients maintain the highest levels of satisfaction with our service.</w:t>
      </w:r>
    </w:p>
    <w:p w14:paraId="3BC29893" w14:textId="77777777" w:rsidR="00413574" w:rsidRPr="002D116F" w:rsidRDefault="00413574" w:rsidP="00413574">
      <w:pPr>
        <w:pStyle w:val="Body"/>
        <w:numPr>
          <w:ilvl w:val="0"/>
          <w:numId w:val="10"/>
        </w:numPr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Follow the company’s operating policies and procedures, so that client servicing is conducted consistently and efficiently and operational risks are appropriately managed.</w:t>
      </w:r>
    </w:p>
    <w:p w14:paraId="33642229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237F41CF" w14:textId="77777777" w:rsidR="00413574" w:rsidRPr="002D116F" w:rsidRDefault="00413574" w:rsidP="00413574">
      <w:pPr>
        <w:pStyle w:val="Body"/>
        <w:numPr>
          <w:ilvl w:val="0"/>
          <w:numId w:val="11"/>
        </w:numPr>
        <w:ind w:left="426" w:hanging="426"/>
        <w:jc w:val="both"/>
        <w:rPr>
          <w:rFonts w:ascii="Lato Light" w:hAnsi="Lato Light"/>
          <w:b/>
          <w:color w:val="595959" w:themeColor="text1" w:themeTint="A6"/>
        </w:rPr>
      </w:pPr>
      <w:r w:rsidRPr="002D116F">
        <w:rPr>
          <w:rFonts w:ascii="Lato Light" w:hAnsi="Lato Light"/>
          <w:b/>
          <w:color w:val="595959" w:themeColor="text1" w:themeTint="A6"/>
        </w:rPr>
        <w:t xml:space="preserve">To manage client portfolios to the highest standards.  </w:t>
      </w:r>
    </w:p>
    <w:p w14:paraId="640C5D8A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496D71F1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Ensure that client assets are allocated to an appropriate mandate and investment model, and that any model changes are immediately implemented.</w:t>
      </w:r>
    </w:p>
    <w:p w14:paraId="06B8F93B" w14:textId="77777777" w:rsidR="00413574" w:rsidRPr="002D116F" w:rsidRDefault="00413574" w:rsidP="00413574">
      <w:pPr>
        <w:pStyle w:val="Body"/>
        <w:ind w:left="720"/>
        <w:jc w:val="both"/>
        <w:rPr>
          <w:rFonts w:ascii="Lato Light" w:hAnsi="Lato Light"/>
          <w:color w:val="595959" w:themeColor="text1" w:themeTint="A6"/>
        </w:rPr>
      </w:pPr>
    </w:p>
    <w:p w14:paraId="013DF546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lastRenderedPageBreak/>
        <w:t>Monitor the tax implications of portfolios as agreed with clients, particularly for CGT, and ensure that these are considered when making portfolio changes; review any model exceptions which arise with the Head of Investment Strategy to agree any appropriate deviations from the model.</w:t>
      </w:r>
    </w:p>
    <w:p w14:paraId="40F731AE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6639C357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Liaise with Financial Planning colleagues to ensure that clients are offered appropriate advice in relation to areas such as IHT planning, pensions, succession planning and protection.</w:t>
      </w:r>
    </w:p>
    <w:p w14:paraId="5107D1D2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340950BD" w14:textId="77777777" w:rsidR="00413574" w:rsidRPr="002D116F" w:rsidRDefault="00413574" w:rsidP="00413574">
      <w:pPr>
        <w:pStyle w:val="Body"/>
        <w:numPr>
          <w:ilvl w:val="0"/>
          <w:numId w:val="11"/>
        </w:numPr>
        <w:ind w:left="426" w:hanging="426"/>
        <w:jc w:val="both"/>
        <w:rPr>
          <w:rFonts w:ascii="Lato Light" w:hAnsi="Lato Light"/>
          <w:b/>
          <w:color w:val="595959" w:themeColor="text1" w:themeTint="A6"/>
        </w:rPr>
      </w:pPr>
      <w:r w:rsidRPr="002D116F">
        <w:rPr>
          <w:rFonts w:ascii="Lato Light" w:hAnsi="Lato Light"/>
          <w:b/>
          <w:color w:val="595959" w:themeColor="text1" w:themeTint="A6"/>
        </w:rPr>
        <w:t xml:space="preserve">To acquire new clients and AUM.  </w:t>
      </w:r>
    </w:p>
    <w:p w14:paraId="646B2844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7DF4AF16" w14:textId="0FB95749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 xml:space="preserve">Grow the number of clients served by </w:t>
      </w:r>
      <w:r w:rsidR="00676072">
        <w:rPr>
          <w:rFonts w:ascii="Lato Light" w:hAnsi="Lato Light"/>
          <w:color w:val="595959" w:themeColor="text1" w:themeTint="A6"/>
        </w:rPr>
        <w:t>working with Wealth Planners and Business Development Managers</w:t>
      </w:r>
      <w:r w:rsidRPr="002D116F">
        <w:rPr>
          <w:rFonts w:ascii="Lato Light" w:hAnsi="Lato Light"/>
          <w:color w:val="595959" w:themeColor="text1" w:themeTint="A6"/>
        </w:rPr>
        <w:t xml:space="preserve"> and by making presentations to professional firms such as lawyers.</w:t>
      </w:r>
    </w:p>
    <w:p w14:paraId="2EEDDEE5" w14:textId="77777777" w:rsidR="00413574" w:rsidRPr="002D116F" w:rsidRDefault="00413574" w:rsidP="00413574">
      <w:pPr>
        <w:pStyle w:val="Body"/>
        <w:ind w:left="720"/>
        <w:jc w:val="both"/>
        <w:rPr>
          <w:rFonts w:ascii="Lato Light" w:hAnsi="Lato Light"/>
          <w:color w:val="595959" w:themeColor="text1" w:themeTint="A6"/>
        </w:rPr>
      </w:pPr>
    </w:p>
    <w:p w14:paraId="768CD36D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Respond to new enquiry leads generated by the firm, converting them to become new clients.</w:t>
      </w:r>
    </w:p>
    <w:p w14:paraId="1397ED71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467CD0CE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Grow AUM by encouraging clients to bring more assets to the firm, through doing an excellent job and by identifying specific opportunities such as ISAs and SIPPs.</w:t>
      </w:r>
    </w:p>
    <w:p w14:paraId="3D6356FD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270CEDD2" w14:textId="77777777" w:rsidR="00413574" w:rsidRPr="002D116F" w:rsidRDefault="00413574" w:rsidP="00413574">
      <w:pPr>
        <w:pStyle w:val="Body"/>
        <w:jc w:val="both"/>
        <w:rPr>
          <w:rFonts w:ascii="Lato Light" w:hAnsi="Lato Light"/>
          <w:b/>
          <w:color w:val="595959" w:themeColor="text1" w:themeTint="A6"/>
        </w:rPr>
      </w:pPr>
      <w:r w:rsidRPr="002D116F">
        <w:rPr>
          <w:rFonts w:ascii="Lato Light" w:hAnsi="Lato Light"/>
          <w:b/>
          <w:color w:val="595959" w:themeColor="text1" w:themeTint="A6"/>
        </w:rPr>
        <w:t>4. Support team working across the business.</w:t>
      </w:r>
    </w:p>
    <w:p w14:paraId="360C56D3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126BA5B6" w14:textId="38B3921A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Provide input to the investment management process, by way of insights and suggestions share</w:t>
      </w:r>
      <w:r w:rsidR="00676072">
        <w:rPr>
          <w:rFonts w:ascii="Lato Light" w:hAnsi="Lato Light"/>
          <w:color w:val="595959" w:themeColor="text1" w:themeTint="A6"/>
        </w:rPr>
        <w:t>d with the Investment Policy C</w:t>
      </w:r>
      <w:r w:rsidRPr="002D116F">
        <w:rPr>
          <w:rFonts w:ascii="Lato Light" w:hAnsi="Lato Light"/>
          <w:color w:val="595959" w:themeColor="text1" w:themeTint="A6"/>
        </w:rPr>
        <w:t>ommittee</w:t>
      </w:r>
      <w:r w:rsidR="00676072">
        <w:rPr>
          <w:rFonts w:ascii="Lato Light" w:hAnsi="Lato Light"/>
          <w:color w:val="595959" w:themeColor="text1" w:themeTint="A6"/>
        </w:rPr>
        <w:t xml:space="preserve"> and Model Portfolio Committee</w:t>
      </w:r>
      <w:r w:rsidRPr="002D116F">
        <w:rPr>
          <w:rFonts w:ascii="Lato Light" w:hAnsi="Lato Light"/>
          <w:color w:val="595959" w:themeColor="text1" w:themeTint="A6"/>
        </w:rPr>
        <w:t>.</w:t>
      </w:r>
    </w:p>
    <w:p w14:paraId="46C0EE6A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7287344B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Maintain close working relationships with colleagues in operations, compliance and other support areas, to ensure that client servicing is maintained efficiently, consistently and safely.</w:t>
      </w:r>
    </w:p>
    <w:p w14:paraId="47EE0EA4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12B48AEA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Identify opportunities for process improvement and share these either directly with the relevant area or through meetings such as the investment managers’ forum.</w:t>
      </w:r>
    </w:p>
    <w:p w14:paraId="3341E49D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01EC17F5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Immediately escalate any potential compliance, operational or reputational risks to a member of the executive committee.</w:t>
      </w:r>
    </w:p>
    <w:p w14:paraId="595FB8F7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</w:p>
    <w:p w14:paraId="4847C6F4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Share knowledge and insight with colleagues and foster a collegiate team culture across the firm.</w:t>
      </w:r>
    </w:p>
    <w:p w14:paraId="04A86CB7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4C5F5570" w14:textId="77777777" w:rsidR="00413574" w:rsidRPr="002D116F" w:rsidRDefault="00413574" w:rsidP="00413574">
      <w:pPr>
        <w:pStyle w:val="Body"/>
        <w:jc w:val="both"/>
        <w:rPr>
          <w:rFonts w:ascii="Lato Light" w:hAnsi="Lato Light"/>
          <w:b/>
          <w:color w:val="595959" w:themeColor="text1" w:themeTint="A6"/>
        </w:rPr>
      </w:pPr>
      <w:r w:rsidRPr="002D116F">
        <w:rPr>
          <w:rFonts w:ascii="Lato Light" w:hAnsi="Lato Light"/>
          <w:b/>
          <w:color w:val="595959" w:themeColor="text1" w:themeTint="A6"/>
        </w:rPr>
        <w:t>5. Personal Development</w:t>
      </w:r>
    </w:p>
    <w:p w14:paraId="005D82EE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</w:p>
    <w:p w14:paraId="1E74A4C0" w14:textId="77777777" w:rsidR="00413574" w:rsidRPr="002D116F" w:rsidRDefault="00413574" w:rsidP="00413574">
      <w:pPr>
        <w:pStyle w:val="Body"/>
        <w:ind w:left="426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>Maintain and record one’s own continuous professional development relevant to the role, including a close ongoing understanding of the investment markets relevant to clients; awareness of developments in the investment industry; and a good understanding of relevant regulatory developments.</w:t>
      </w:r>
    </w:p>
    <w:p w14:paraId="7BE12DBE" w14:textId="77777777" w:rsidR="00413574" w:rsidRPr="002D116F" w:rsidRDefault="00413574" w:rsidP="00413574">
      <w:pPr>
        <w:pStyle w:val="Body"/>
        <w:jc w:val="both"/>
        <w:rPr>
          <w:rFonts w:ascii="Lato Light" w:hAnsi="Lato Light"/>
          <w:color w:val="595959" w:themeColor="text1" w:themeTint="A6"/>
        </w:rPr>
      </w:pPr>
      <w:r w:rsidRPr="002D116F">
        <w:rPr>
          <w:rFonts w:ascii="Lato Light" w:hAnsi="Lato Light"/>
          <w:color w:val="595959" w:themeColor="text1" w:themeTint="A6"/>
        </w:rPr>
        <w:t xml:space="preserve"> </w:t>
      </w:r>
    </w:p>
    <w:p w14:paraId="44A5BC70" w14:textId="253C4CF4" w:rsidR="00494C63" w:rsidRPr="007D52D5" w:rsidRDefault="00494C63" w:rsidP="00B44BF2">
      <w:pPr>
        <w:rPr>
          <w:rFonts w:ascii="Lato Light" w:hAnsi="Lato Light"/>
          <w:sz w:val="20"/>
        </w:rPr>
      </w:pPr>
    </w:p>
    <w:p w14:paraId="3C7A6FFA" w14:textId="77777777" w:rsidR="00C77A38" w:rsidRPr="007D52D5" w:rsidRDefault="00C77A38" w:rsidP="00C77A38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</w:p>
    <w:p w14:paraId="1FDB1BB0" w14:textId="5E4B2895" w:rsidR="00367E83" w:rsidRPr="00C211F0" w:rsidRDefault="007D52D5" w:rsidP="007D52D5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SKILLS AND EXPERIENCE</w:t>
      </w:r>
    </w:p>
    <w:p w14:paraId="7693E7DC" w14:textId="77777777" w:rsidR="007D52D5" w:rsidRPr="007D52D5" w:rsidRDefault="007D52D5" w:rsidP="007D52D5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</w:p>
    <w:p w14:paraId="5A63F582" w14:textId="5DA8FA45" w:rsidR="00494C63" w:rsidRDefault="000563DD" w:rsidP="00494C63">
      <w:p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The successful candidate will:</w:t>
      </w:r>
    </w:p>
    <w:p w14:paraId="3B78ED9A" w14:textId="5F4826C4" w:rsidR="000563DD" w:rsidRDefault="000563DD" w:rsidP="000563DD">
      <w:pPr>
        <w:pStyle w:val="ListParagraph"/>
        <w:numPr>
          <w:ilvl w:val="0"/>
          <w:numId w:val="25"/>
        </w:num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 xml:space="preserve">be CISI - </w:t>
      </w:r>
      <w:r w:rsidRPr="003D15AA">
        <w:rPr>
          <w:rFonts w:ascii="Lato Light" w:hAnsi="Lato Light"/>
          <w:sz w:val="20"/>
        </w:rPr>
        <w:t>Level 4 qualified as a minimum with</w:t>
      </w:r>
      <w:r>
        <w:rPr>
          <w:rFonts w:ascii="Lato Light" w:hAnsi="Lato Light"/>
          <w:sz w:val="20"/>
        </w:rPr>
        <w:t xml:space="preserve"> a desire to continue with exams and </w:t>
      </w:r>
      <w:r w:rsidRPr="003D15AA">
        <w:rPr>
          <w:rFonts w:ascii="Lato Light" w:hAnsi="Lato Light"/>
          <w:sz w:val="20"/>
        </w:rPr>
        <w:t>progress to level 6.</w:t>
      </w:r>
    </w:p>
    <w:p w14:paraId="6B4F5627" w14:textId="68DAE43E" w:rsidR="000563DD" w:rsidRDefault="000563DD" w:rsidP="00494C63">
      <w:pPr>
        <w:pStyle w:val="ListParagraph"/>
        <w:numPr>
          <w:ilvl w:val="0"/>
          <w:numId w:val="25"/>
        </w:num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currently be managing a portfolio of UK private clients</w:t>
      </w:r>
    </w:p>
    <w:p w14:paraId="323CE51E" w14:textId="652E6EC3" w:rsidR="008F3BD2" w:rsidRPr="000563DD" w:rsidRDefault="008F3BD2" w:rsidP="00494C63">
      <w:pPr>
        <w:pStyle w:val="ListParagraph"/>
        <w:numPr>
          <w:ilvl w:val="0"/>
          <w:numId w:val="25"/>
        </w:num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have experience of managing third party funds</w:t>
      </w:r>
    </w:p>
    <w:p w14:paraId="6955A833" w14:textId="4AF01CEF" w:rsidR="003D15AA" w:rsidRDefault="000563DD" w:rsidP="003D15AA">
      <w:pPr>
        <w:pStyle w:val="ListParagraph"/>
        <w:numPr>
          <w:ilvl w:val="0"/>
          <w:numId w:val="25"/>
        </w:num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have a</w:t>
      </w:r>
      <w:r w:rsidR="003D15AA">
        <w:rPr>
          <w:rFonts w:ascii="Lato Light" w:hAnsi="Lato Light"/>
          <w:sz w:val="20"/>
        </w:rPr>
        <w:t xml:space="preserve"> clear interest in markets</w:t>
      </w:r>
    </w:p>
    <w:p w14:paraId="67370906" w14:textId="329E5C50" w:rsidR="003D15AA" w:rsidRDefault="000563DD" w:rsidP="003D15AA">
      <w:pPr>
        <w:pStyle w:val="ListParagraph"/>
        <w:numPr>
          <w:ilvl w:val="0"/>
          <w:numId w:val="25"/>
        </w:num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have a</w:t>
      </w:r>
      <w:r w:rsidR="00676072" w:rsidRPr="003D15AA">
        <w:rPr>
          <w:rFonts w:ascii="Lato Light" w:hAnsi="Lato Light"/>
          <w:sz w:val="20"/>
        </w:rPr>
        <w:t xml:space="preserve">n ability to relate to a broad range of individuals. </w:t>
      </w:r>
    </w:p>
    <w:p w14:paraId="6570DCB3" w14:textId="608CF5D2" w:rsidR="003D15AA" w:rsidRDefault="006F2FA8" w:rsidP="003D15AA">
      <w:pPr>
        <w:pStyle w:val="ListParagraph"/>
        <w:numPr>
          <w:ilvl w:val="0"/>
          <w:numId w:val="25"/>
        </w:num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h</w:t>
      </w:r>
      <w:r w:rsidR="000563DD">
        <w:rPr>
          <w:rFonts w:ascii="Lato Light" w:hAnsi="Lato Light"/>
          <w:sz w:val="20"/>
        </w:rPr>
        <w:t>ave a</w:t>
      </w:r>
      <w:r w:rsidR="00676072" w:rsidRPr="003D15AA">
        <w:rPr>
          <w:rFonts w:ascii="Lato Light" w:hAnsi="Lato Light"/>
          <w:sz w:val="20"/>
        </w:rPr>
        <w:t xml:space="preserve"> </w:t>
      </w:r>
      <w:r w:rsidR="00383505" w:rsidRPr="003D15AA">
        <w:rPr>
          <w:rFonts w:ascii="Lato Light" w:hAnsi="Lato Light"/>
          <w:sz w:val="20"/>
        </w:rPr>
        <w:t>can</w:t>
      </w:r>
      <w:r w:rsidR="00383505">
        <w:rPr>
          <w:rFonts w:ascii="Lato Light" w:hAnsi="Lato Light"/>
          <w:sz w:val="20"/>
        </w:rPr>
        <w:t>-do</w:t>
      </w:r>
      <w:r w:rsidR="00676072" w:rsidRPr="003D15AA">
        <w:rPr>
          <w:rFonts w:ascii="Lato Light" w:hAnsi="Lato Light"/>
          <w:sz w:val="20"/>
        </w:rPr>
        <w:t xml:space="preserve"> attitude.</w:t>
      </w:r>
    </w:p>
    <w:p w14:paraId="1ABF748C" w14:textId="4EDD235D" w:rsidR="00302328" w:rsidRPr="00302328" w:rsidRDefault="00302328" w:rsidP="00302328">
      <w:pPr>
        <w:rPr>
          <w:rFonts w:ascii="Lato Light" w:hAnsi="Lato Light"/>
          <w:sz w:val="20"/>
        </w:rPr>
      </w:pPr>
      <w:r>
        <w:rPr>
          <w:rFonts w:ascii="Lato Light" w:hAnsi="Lato Light"/>
          <w:sz w:val="20"/>
        </w:rPr>
        <w:t>Interested should send a CV to Linda.Tottem@Kingswood-Group.com</w:t>
      </w:r>
    </w:p>
    <w:p w14:paraId="640117BD" w14:textId="77777777" w:rsidR="002D116F" w:rsidRPr="007D52D5" w:rsidRDefault="002D116F" w:rsidP="00494C63">
      <w:pPr>
        <w:rPr>
          <w:rFonts w:ascii="Lato Light" w:hAnsi="Lato Light"/>
          <w:sz w:val="20"/>
        </w:rPr>
      </w:pPr>
    </w:p>
    <w:p w14:paraId="0F31794F" w14:textId="77777777" w:rsidR="007D52D5" w:rsidRDefault="007D52D5" w:rsidP="00494C63">
      <w:pPr>
        <w:rPr>
          <w:rFonts w:ascii="Lato Light" w:hAnsi="Lato Light"/>
          <w:b/>
          <w:bCs/>
          <w:color w:val="4F4F4F"/>
          <w:sz w:val="20"/>
        </w:rPr>
      </w:pPr>
    </w:p>
    <w:p w14:paraId="09CD639A" w14:textId="77777777" w:rsidR="00AD5070" w:rsidRDefault="00AD5070" w:rsidP="00494C63">
      <w:pPr>
        <w:rPr>
          <w:rFonts w:ascii="Lato Light" w:hAnsi="Lato Light"/>
          <w:b/>
          <w:bCs/>
          <w:sz w:val="20"/>
          <w:u w:val="single"/>
        </w:rPr>
      </w:pPr>
    </w:p>
    <w:p w14:paraId="2772B2E3" w14:textId="77777777" w:rsidR="00AD5070" w:rsidRDefault="00AD5070" w:rsidP="00494C63">
      <w:pPr>
        <w:rPr>
          <w:rFonts w:ascii="Lato Light" w:hAnsi="Lato Light"/>
          <w:b/>
          <w:bCs/>
          <w:sz w:val="20"/>
          <w:u w:val="single"/>
        </w:rPr>
      </w:pPr>
    </w:p>
    <w:p w14:paraId="76456932" w14:textId="77777777" w:rsidR="00AD5070" w:rsidRDefault="00AD5070" w:rsidP="00494C63">
      <w:pPr>
        <w:rPr>
          <w:rFonts w:ascii="Lato Light" w:hAnsi="Lato Light"/>
          <w:b/>
          <w:bCs/>
          <w:sz w:val="20"/>
          <w:u w:val="single"/>
        </w:rPr>
      </w:pPr>
    </w:p>
    <w:sectPr w:rsidR="00AD5070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5735" w14:textId="77777777" w:rsidR="00F64299" w:rsidRDefault="00F64299" w:rsidP="00C47A21">
      <w:r>
        <w:separator/>
      </w:r>
    </w:p>
  </w:endnote>
  <w:endnote w:type="continuationSeparator" w:id="0">
    <w:p w14:paraId="3251CD66" w14:textId="77777777" w:rsidR="00F64299" w:rsidRDefault="00F64299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roman"/>
    <w:pitch w:val="default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82B3" w14:textId="77777777" w:rsidR="00F64299" w:rsidRDefault="00F64299" w:rsidP="00C47A21">
      <w:r>
        <w:separator/>
      </w:r>
    </w:p>
  </w:footnote>
  <w:footnote w:type="continuationSeparator" w:id="0">
    <w:p w14:paraId="4DED9D05" w14:textId="77777777" w:rsidR="00F64299" w:rsidRDefault="00F64299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0293BF83" w:rsidR="00FC3616" w:rsidRDefault="00FC3616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9B663F"/>
    <w:multiLevelType w:val="hybridMultilevel"/>
    <w:tmpl w:val="811A3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81250"/>
    <w:multiLevelType w:val="hybridMultilevel"/>
    <w:tmpl w:val="615A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FEC"/>
    <w:multiLevelType w:val="hybridMultilevel"/>
    <w:tmpl w:val="38683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43413A"/>
    <w:multiLevelType w:val="hybridMultilevel"/>
    <w:tmpl w:val="4D38B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1C24"/>
    <w:multiLevelType w:val="hybridMultilevel"/>
    <w:tmpl w:val="3C64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D652F"/>
    <w:multiLevelType w:val="hybridMultilevel"/>
    <w:tmpl w:val="320E9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1"/>
  </w:num>
  <w:num w:numId="8">
    <w:abstractNumId w:val="6"/>
  </w:num>
  <w:num w:numId="9">
    <w:abstractNumId w:val="18"/>
  </w:num>
  <w:num w:numId="10">
    <w:abstractNumId w:val="2"/>
  </w:num>
  <w:num w:numId="11">
    <w:abstractNumId w:val="15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5"/>
  </w:num>
  <w:num w:numId="19">
    <w:abstractNumId w:val="22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76A0"/>
    <w:rsid w:val="00025029"/>
    <w:rsid w:val="000304EB"/>
    <w:rsid w:val="000435A7"/>
    <w:rsid w:val="000563DD"/>
    <w:rsid w:val="000615AA"/>
    <w:rsid w:val="00074CDE"/>
    <w:rsid w:val="000775AA"/>
    <w:rsid w:val="0008469E"/>
    <w:rsid w:val="000A227A"/>
    <w:rsid w:val="00136018"/>
    <w:rsid w:val="0017738C"/>
    <w:rsid w:val="001B22D9"/>
    <w:rsid w:val="001D3BC2"/>
    <w:rsid w:val="001E17FD"/>
    <w:rsid w:val="0020032A"/>
    <w:rsid w:val="00214109"/>
    <w:rsid w:val="0027439B"/>
    <w:rsid w:val="00281BED"/>
    <w:rsid w:val="00283512"/>
    <w:rsid w:val="002863B6"/>
    <w:rsid w:val="002D116F"/>
    <w:rsid w:val="00302328"/>
    <w:rsid w:val="00302CAB"/>
    <w:rsid w:val="00304972"/>
    <w:rsid w:val="00305B2E"/>
    <w:rsid w:val="00306B1F"/>
    <w:rsid w:val="003400BB"/>
    <w:rsid w:val="00346788"/>
    <w:rsid w:val="003614CA"/>
    <w:rsid w:val="00367E83"/>
    <w:rsid w:val="00383505"/>
    <w:rsid w:val="00390999"/>
    <w:rsid w:val="003A582D"/>
    <w:rsid w:val="003D15AA"/>
    <w:rsid w:val="003E5478"/>
    <w:rsid w:val="00407180"/>
    <w:rsid w:val="00413574"/>
    <w:rsid w:val="00420F6F"/>
    <w:rsid w:val="00424095"/>
    <w:rsid w:val="00474276"/>
    <w:rsid w:val="00494C63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67057C"/>
    <w:rsid w:val="00676072"/>
    <w:rsid w:val="006A4537"/>
    <w:rsid w:val="006C5DC4"/>
    <w:rsid w:val="006D0FB9"/>
    <w:rsid w:val="006F2FA8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9519D"/>
    <w:rsid w:val="007C6B05"/>
    <w:rsid w:val="007D4029"/>
    <w:rsid w:val="007D52D5"/>
    <w:rsid w:val="00800A87"/>
    <w:rsid w:val="008349DC"/>
    <w:rsid w:val="00854F71"/>
    <w:rsid w:val="008906CE"/>
    <w:rsid w:val="008971E5"/>
    <w:rsid w:val="008A73CD"/>
    <w:rsid w:val="008E7821"/>
    <w:rsid w:val="008F3BD2"/>
    <w:rsid w:val="00910428"/>
    <w:rsid w:val="00930D0B"/>
    <w:rsid w:val="00953A6A"/>
    <w:rsid w:val="0096254C"/>
    <w:rsid w:val="009978C9"/>
    <w:rsid w:val="009B7BFF"/>
    <w:rsid w:val="009F0A68"/>
    <w:rsid w:val="009F3677"/>
    <w:rsid w:val="009F71EE"/>
    <w:rsid w:val="00A128A7"/>
    <w:rsid w:val="00A21F10"/>
    <w:rsid w:val="00A730E9"/>
    <w:rsid w:val="00A823C5"/>
    <w:rsid w:val="00A9407A"/>
    <w:rsid w:val="00AB1A32"/>
    <w:rsid w:val="00AC521F"/>
    <w:rsid w:val="00AD5070"/>
    <w:rsid w:val="00B144DA"/>
    <w:rsid w:val="00B44BF2"/>
    <w:rsid w:val="00BB5561"/>
    <w:rsid w:val="00BD5679"/>
    <w:rsid w:val="00BF34EB"/>
    <w:rsid w:val="00BF7AC5"/>
    <w:rsid w:val="00C211F0"/>
    <w:rsid w:val="00C30E28"/>
    <w:rsid w:val="00C36A68"/>
    <w:rsid w:val="00C43A63"/>
    <w:rsid w:val="00C47A21"/>
    <w:rsid w:val="00C5252A"/>
    <w:rsid w:val="00C52E02"/>
    <w:rsid w:val="00C63244"/>
    <w:rsid w:val="00C701CE"/>
    <w:rsid w:val="00C70AD6"/>
    <w:rsid w:val="00C77A38"/>
    <w:rsid w:val="00CC260B"/>
    <w:rsid w:val="00CF7DFF"/>
    <w:rsid w:val="00D00846"/>
    <w:rsid w:val="00D42F3F"/>
    <w:rsid w:val="00D6259C"/>
    <w:rsid w:val="00D82268"/>
    <w:rsid w:val="00DB360A"/>
    <w:rsid w:val="00DE7D5B"/>
    <w:rsid w:val="00E2651C"/>
    <w:rsid w:val="00E83FDF"/>
    <w:rsid w:val="00E85BDA"/>
    <w:rsid w:val="00EC5728"/>
    <w:rsid w:val="00ED0F8F"/>
    <w:rsid w:val="00EF2A52"/>
    <w:rsid w:val="00F35758"/>
    <w:rsid w:val="00F3616C"/>
    <w:rsid w:val="00F64299"/>
    <w:rsid w:val="00F76C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FFD61F"/>
  <w15:docId w15:val="{EDDBF404-8299-4E67-91C6-9BD9043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EA5A-12DA-4118-9F51-26079D70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6</cp:revision>
  <cp:lastPrinted>2019-04-09T10:27:00Z</cp:lastPrinted>
  <dcterms:created xsi:type="dcterms:W3CDTF">2021-10-15T11:38:00Z</dcterms:created>
  <dcterms:modified xsi:type="dcterms:W3CDTF">2021-11-19T17:06:00Z</dcterms:modified>
</cp:coreProperties>
</file>